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B2B32" w14:textId="0313556F" w:rsidR="006C1699" w:rsidRPr="00D52D9F" w:rsidRDefault="0036289E" w:rsidP="000C4EBB">
      <w:pPr>
        <w:pStyle w:val="Heading1"/>
        <w:rPr>
          <w:lang w:val="en-US"/>
        </w:rPr>
      </w:pPr>
      <w:r w:rsidRPr="00D52D9F">
        <w:rPr>
          <w:lang w:val="en-US"/>
        </w:rPr>
        <w:t xml:space="preserve">Appendix </w:t>
      </w:r>
      <w:r w:rsidR="00D04DF5" w:rsidRPr="00D52D9F">
        <w:rPr>
          <w:lang w:val="en-US"/>
        </w:rPr>
        <w:t>3</w:t>
      </w:r>
      <w:r w:rsidRPr="00D52D9F">
        <w:rPr>
          <w:lang w:val="en-US"/>
        </w:rPr>
        <w:t xml:space="preserve"> </w:t>
      </w:r>
      <w:proofErr w:type="spellStart"/>
      <w:r w:rsidR="00025CF4" w:rsidRPr="00D52D9F">
        <w:rPr>
          <w:lang w:val="en-US"/>
        </w:rPr>
        <w:t>Programme</w:t>
      </w:r>
      <w:proofErr w:type="spellEnd"/>
    </w:p>
    <w:p w14:paraId="38ECBCB8" w14:textId="6D10B383" w:rsidR="0036289E" w:rsidRPr="000C2DB1" w:rsidRDefault="0036289E" w:rsidP="0036289E">
      <w:pPr>
        <w:rPr>
          <w:rFonts w:ascii="Times New Roman" w:hAnsi="Times New Roman" w:cs="Times New Roman"/>
          <w:lang w:val="en-US"/>
        </w:rPr>
      </w:pPr>
    </w:p>
    <w:p w14:paraId="4CC1E596" w14:textId="07FD83F1" w:rsidR="00DA4DB8" w:rsidRDefault="00025CF4" w:rsidP="0005075C">
      <w:pPr>
        <w:pStyle w:val="ListParagraph"/>
        <w:numPr>
          <w:ilvl w:val="0"/>
          <w:numId w:val="7"/>
        </w:numPr>
        <w:ind w:left="284" w:hanging="284"/>
        <w:jc w:val="both"/>
        <w:rPr>
          <w:rFonts w:ascii="Times New Roman" w:hAnsi="Times New Roman" w:cs="Times New Roman"/>
        </w:rPr>
      </w:pPr>
      <w:r w:rsidRPr="007F440C">
        <w:rPr>
          <w:rFonts w:ascii="Times New Roman" w:hAnsi="Times New Roman" w:cs="Times New Roman"/>
        </w:rPr>
        <w:t xml:space="preserve">Key dates as </w:t>
      </w:r>
      <w:r w:rsidRPr="00AC7B57">
        <w:rPr>
          <w:rFonts w:ascii="Times New Roman" w:hAnsi="Times New Roman" w:cs="Times New Roman"/>
        </w:rPr>
        <w:t xml:space="preserve">indicated in Sub-Clause 4.3.1 of the </w:t>
      </w:r>
      <w:r w:rsidR="00FA03D9" w:rsidRPr="00AC7B57">
        <w:rPr>
          <w:rFonts w:ascii="Times New Roman" w:hAnsi="Times New Roman" w:cs="Times New Roman"/>
        </w:rPr>
        <w:t>Particular</w:t>
      </w:r>
      <w:r w:rsidR="00FA03D9">
        <w:rPr>
          <w:rFonts w:ascii="Times New Roman" w:hAnsi="Times New Roman" w:cs="Times New Roman"/>
        </w:rPr>
        <w:t xml:space="preserve"> Conditions</w:t>
      </w:r>
      <w:r w:rsidRPr="007F440C">
        <w:rPr>
          <w:rFonts w:ascii="Times New Roman" w:hAnsi="Times New Roman" w:cs="Times New Roman"/>
        </w:rPr>
        <w:t>:</w:t>
      </w:r>
    </w:p>
    <w:p w14:paraId="341A7253" w14:textId="77777777" w:rsidR="00C0228A" w:rsidRPr="0005075C" w:rsidRDefault="00C0228A" w:rsidP="00C0228A">
      <w:pPr>
        <w:pStyle w:val="ListParagraph"/>
        <w:ind w:left="284"/>
        <w:jc w:val="both"/>
        <w:rPr>
          <w:rFonts w:ascii="Times New Roman" w:hAnsi="Times New Roman" w:cs="Times New Roman"/>
        </w:rPr>
      </w:pPr>
    </w:p>
    <w:tbl>
      <w:tblPr>
        <w:tblW w:w="5000" w:type="pct"/>
        <w:tblLook w:val="04A0" w:firstRow="1" w:lastRow="0" w:firstColumn="1" w:lastColumn="0" w:noHBand="0" w:noVBand="1"/>
      </w:tblPr>
      <w:tblGrid>
        <w:gridCol w:w="541"/>
        <w:gridCol w:w="6701"/>
        <w:gridCol w:w="1814"/>
      </w:tblGrid>
      <w:tr w:rsidR="00B54093" w:rsidRPr="00BE3371" w14:paraId="4C69BDA1" w14:textId="77777777" w:rsidTr="0033351A">
        <w:trPr>
          <w:trHeight w:val="1346"/>
        </w:trPr>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525CE"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No.</w:t>
            </w: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18480F01"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Item</w:t>
            </w:r>
            <w:r w:rsidRPr="00BE3371">
              <w:rPr>
                <w:rFonts w:ascii="Myriad Pro" w:eastAsia="Times New Roman" w:hAnsi="Myriad Pro" w:cs="Calibri"/>
                <w:b/>
                <w:bCs/>
                <w:color w:val="000000"/>
                <w:sz w:val="22"/>
                <w:szCs w:val="22"/>
                <w:lang w:val="en-US" w:eastAsia="en-US"/>
              </w:rPr>
              <w:t xml:space="preserve"> </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1F745190"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Deadline</w:t>
            </w:r>
            <w:r w:rsidRPr="00BE3371">
              <w:rPr>
                <w:rFonts w:ascii="Myriad Pro" w:eastAsia="Times New Roman" w:hAnsi="Myriad Pro" w:cs="Calibri"/>
                <w:b/>
                <w:bCs/>
                <w:color w:val="000000"/>
                <w:sz w:val="22"/>
                <w:szCs w:val="22"/>
                <w:lang w:val="en-US" w:eastAsia="en-US"/>
              </w:rPr>
              <w:br/>
              <w:t>(months from Commencement Date)</w:t>
            </w:r>
          </w:p>
        </w:tc>
      </w:tr>
      <w:tr w:rsidR="00B54093" w:rsidRPr="00BE3371" w14:paraId="06C17328" w14:textId="77777777" w:rsidTr="0033351A">
        <w:trPr>
          <w:trHeight w:val="283"/>
        </w:trPr>
        <w:tc>
          <w:tcPr>
            <w:tcW w:w="3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9CABCC"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1.</w:t>
            </w:r>
          </w:p>
        </w:tc>
        <w:tc>
          <w:tcPr>
            <w:tcW w:w="3845" w:type="pct"/>
            <w:tcBorders>
              <w:top w:val="nil"/>
              <w:left w:val="nil"/>
              <w:bottom w:val="single" w:sz="4" w:space="0" w:color="auto"/>
              <w:right w:val="single" w:sz="4" w:space="0" w:color="auto"/>
            </w:tcBorders>
            <w:shd w:val="clear" w:color="auto" w:fill="auto"/>
            <w:vAlign w:val="center"/>
            <w:hideMark/>
          </w:tcPr>
          <w:p w14:paraId="08777094" w14:textId="77777777" w:rsidR="00B54093" w:rsidRPr="00BE3371" w:rsidRDefault="00B54093" w:rsidP="0033351A">
            <w:pP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 xml:space="preserve">Master Design </w:t>
            </w:r>
          </w:p>
        </w:tc>
        <w:tc>
          <w:tcPr>
            <w:tcW w:w="834" w:type="pct"/>
            <w:tcBorders>
              <w:top w:val="nil"/>
              <w:left w:val="nil"/>
              <w:bottom w:val="single" w:sz="4" w:space="0" w:color="auto"/>
              <w:right w:val="single" w:sz="4" w:space="0" w:color="auto"/>
            </w:tcBorders>
            <w:shd w:val="clear" w:color="auto" w:fill="auto"/>
            <w:noWrap/>
            <w:vAlign w:val="center"/>
            <w:hideMark/>
          </w:tcPr>
          <w:p w14:paraId="69268B78"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8</w:t>
            </w:r>
          </w:p>
        </w:tc>
      </w:tr>
      <w:tr w:rsidR="00B54093" w:rsidRPr="00BE3371" w14:paraId="381BD39C" w14:textId="77777777" w:rsidTr="0033351A">
        <w:trPr>
          <w:trHeight w:val="626"/>
        </w:trPr>
        <w:tc>
          <w:tcPr>
            <w:tcW w:w="322" w:type="pct"/>
            <w:vMerge/>
            <w:tcBorders>
              <w:top w:val="nil"/>
              <w:left w:val="single" w:sz="4" w:space="0" w:color="auto"/>
              <w:bottom w:val="single" w:sz="4" w:space="0" w:color="000000"/>
              <w:right w:val="single" w:sz="4" w:space="0" w:color="auto"/>
            </w:tcBorders>
            <w:vAlign w:val="center"/>
            <w:hideMark/>
          </w:tcPr>
          <w:p w14:paraId="466B82F9"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nil"/>
            </w:tcBorders>
            <w:shd w:val="clear" w:color="auto" w:fill="auto"/>
            <w:vAlign w:val="center"/>
            <w:hideMark/>
          </w:tcPr>
          <w:p w14:paraId="258C623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3  </w:t>
            </w:r>
            <w:r w:rsidRPr="00BE3371">
              <w:rPr>
                <w:rFonts w:ascii="Myriad Pro" w:eastAsia="Times New Roman" w:hAnsi="Myriad Pro" w:cs="Calibri"/>
                <w:color w:val="000000"/>
                <w:sz w:val="22"/>
                <w:szCs w:val="22"/>
                <w:lang w:val="en-US" w:eastAsia="en-US"/>
              </w:rPr>
              <w:br/>
              <w:t xml:space="preserve">Riga International Airport to Misa  </w:t>
            </w:r>
          </w:p>
        </w:tc>
        <w:tc>
          <w:tcPr>
            <w:tcW w:w="834" w:type="pct"/>
            <w:tcBorders>
              <w:top w:val="nil"/>
              <w:left w:val="nil"/>
              <w:bottom w:val="single" w:sz="4" w:space="0" w:color="auto"/>
              <w:right w:val="single" w:sz="4" w:space="0" w:color="auto"/>
            </w:tcBorders>
            <w:shd w:val="clear" w:color="auto" w:fill="auto"/>
            <w:vAlign w:val="center"/>
            <w:hideMark/>
          </w:tcPr>
          <w:p w14:paraId="15A00CE8" w14:textId="49E9921D"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1D3D8F58"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1E91CB69"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5A353669"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BP3.7 </w:t>
            </w:r>
          </w:p>
        </w:tc>
        <w:tc>
          <w:tcPr>
            <w:tcW w:w="834" w:type="pct"/>
            <w:tcBorders>
              <w:top w:val="nil"/>
              <w:left w:val="nil"/>
              <w:bottom w:val="single" w:sz="4" w:space="0" w:color="auto"/>
              <w:right w:val="single" w:sz="4" w:space="0" w:color="auto"/>
            </w:tcBorders>
            <w:shd w:val="clear" w:color="auto" w:fill="auto"/>
            <w:noWrap/>
            <w:vAlign w:val="center"/>
            <w:hideMark/>
          </w:tcPr>
          <w:p w14:paraId="46754DFC"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4</w:t>
            </w:r>
          </w:p>
        </w:tc>
      </w:tr>
      <w:tr w:rsidR="00B54093" w:rsidRPr="00BE3371" w14:paraId="1DEED5D7"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5DB0F1CB"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838D5E1"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BP3.6 </w:t>
            </w:r>
          </w:p>
        </w:tc>
        <w:tc>
          <w:tcPr>
            <w:tcW w:w="834" w:type="pct"/>
            <w:tcBorders>
              <w:top w:val="nil"/>
              <w:left w:val="nil"/>
              <w:bottom w:val="single" w:sz="4" w:space="0" w:color="auto"/>
              <w:right w:val="single" w:sz="4" w:space="0" w:color="auto"/>
            </w:tcBorders>
            <w:shd w:val="clear" w:color="auto" w:fill="auto"/>
            <w:noWrap/>
            <w:vAlign w:val="center"/>
            <w:hideMark/>
          </w:tcPr>
          <w:p w14:paraId="67721079"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4</w:t>
            </w:r>
          </w:p>
        </w:tc>
      </w:tr>
      <w:tr w:rsidR="00B54093" w:rsidRPr="00BE3371" w14:paraId="1BFB5F90"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6E8E5173"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4D79965"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BP3.5 </w:t>
            </w:r>
          </w:p>
        </w:tc>
        <w:tc>
          <w:tcPr>
            <w:tcW w:w="834" w:type="pct"/>
            <w:tcBorders>
              <w:top w:val="nil"/>
              <w:left w:val="nil"/>
              <w:bottom w:val="single" w:sz="4" w:space="0" w:color="auto"/>
              <w:right w:val="single" w:sz="4" w:space="0" w:color="auto"/>
            </w:tcBorders>
            <w:shd w:val="clear" w:color="auto" w:fill="auto"/>
            <w:noWrap/>
            <w:vAlign w:val="center"/>
            <w:hideMark/>
          </w:tcPr>
          <w:p w14:paraId="3E2491D5"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4</w:t>
            </w:r>
          </w:p>
        </w:tc>
      </w:tr>
      <w:tr w:rsidR="00B54093" w:rsidRPr="00BE3371" w14:paraId="541F9B9C"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158DE038"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7EDF9410"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BP3.3</w:t>
            </w:r>
          </w:p>
        </w:tc>
        <w:tc>
          <w:tcPr>
            <w:tcW w:w="834" w:type="pct"/>
            <w:tcBorders>
              <w:top w:val="nil"/>
              <w:left w:val="nil"/>
              <w:bottom w:val="single" w:sz="4" w:space="0" w:color="auto"/>
              <w:right w:val="single" w:sz="4" w:space="0" w:color="auto"/>
            </w:tcBorders>
            <w:shd w:val="clear" w:color="auto" w:fill="auto"/>
            <w:noWrap/>
            <w:vAlign w:val="center"/>
            <w:hideMark/>
          </w:tcPr>
          <w:p w14:paraId="62403434"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5</w:t>
            </w:r>
          </w:p>
        </w:tc>
      </w:tr>
      <w:tr w:rsidR="00B54093" w:rsidRPr="00BE3371" w14:paraId="014A2D5B"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5BA19F04"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25E3325"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BP3.2</w:t>
            </w:r>
          </w:p>
        </w:tc>
        <w:tc>
          <w:tcPr>
            <w:tcW w:w="834" w:type="pct"/>
            <w:tcBorders>
              <w:top w:val="nil"/>
              <w:left w:val="nil"/>
              <w:bottom w:val="single" w:sz="4" w:space="0" w:color="auto"/>
              <w:right w:val="single" w:sz="4" w:space="0" w:color="auto"/>
            </w:tcBorders>
            <w:shd w:val="clear" w:color="auto" w:fill="auto"/>
            <w:noWrap/>
            <w:vAlign w:val="center"/>
            <w:hideMark/>
          </w:tcPr>
          <w:p w14:paraId="52DCF259"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6</w:t>
            </w:r>
          </w:p>
        </w:tc>
      </w:tr>
      <w:tr w:rsidR="00B54093" w:rsidRPr="00BE3371" w14:paraId="1C6BFB32"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15BABA8D"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3793796F"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BP3.1</w:t>
            </w:r>
          </w:p>
        </w:tc>
        <w:tc>
          <w:tcPr>
            <w:tcW w:w="834" w:type="pct"/>
            <w:tcBorders>
              <w:top w:val="nil"/>
              <w:left w:val="nil"/>
              <w:bottom w:val="single" w:sz="4" w:space="0" w:color="auto"/>
              <w:right w:val="single" w:sz="4" w:space="0" w:color="auto"/>
            </w:tcBorders>
            <w:shd w:val="clear" w:color="auto" w:fill="auto"/>
            <w:noWrap/>
            <w:vAlign w:val="center"/>
            <w:hideMark/>
          </w:tcPr>
          <w:p w14:paraId="2FA65DDF"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6</w:t>
            </w:r>
          </w:p>
        </w:tc>
      </w:tr>
      <w:tr w:rsidR="00B54093" w:rsidRPr="00BE3371" w14:paraId="73ECD8CB"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75907611"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420E604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BP3.4</w:t>
            </w:r>
          </w:p>
        </w:tc>
        <w:tc>
          <w:tcPr>
            <w:tcW w:w="834" w:type="pct"/>
            <w:tcBorders>
              <w:top w:val="nil"/>
              <w:left w:val="nil"/>
              <w:bottom w:val="single" w:sz="4" w:space="0" w:color="auto"/>
              <w:right w:val="single" w:sz="4" w:space="0" w:color="auto"/>
            </w:tcBorders>
            <w:shd w:val="clear" w:color="auto" w:fill="auto"/>
            <w:noWrap/>
            <w:vAlign w:val="center"/>
            <w:hideMark/>
          </w:tcPr>
          <w:p w14:paraId="3C8FCE5F"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7</w:t>
            </w:r>
          </w:p>
        </w:tc>
      </w:tr>
      <w:tr w:rsidR="00B54093" w:rsidRPr="00BE3371" w14:paraId="6C6450C1" w14:textId="77777777" w:rsidTr="0033351A">
        <w:trPr>
          <w:trHeight w:val="626"/>
        </w:trPr>
        <w:tc>
          <w:tcPr>
            <w:tcW w:w="322" w:type="pct"/>
            <w:vMerge/>
            <w:tcBorders>
              <w:top w:val="nil"/>
              <w:left w:val="single" w:sz="4" w:space="0" w:color="auto"/>
              <w:bottom w:val="single" w:sz="4" w:space="0" w:color="000000"/>
              <w:right w:val="single" w:sz="4" w:space="0" w:color="auto"/>
            </w:tcBorders>
            <w:vAlign w:val="center"/>
            <w:hideMark/>
          </w:tcPr>
          <w:p w14:paraId="6045CC1F"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nil"/>
            </w:tcBorders>
            <w:shd w:val="clear" w:color="auto" w:fill="auto"/>
            <w:vAlign w:val="center"/>
            <w:hideMark/>
          </w:tcPr>
          <w:p w14:paraId="70B49C26"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2 </w:t>
            </w:r>
            <w:r w:rsidRPr="00BE3371">
              <w:rPr>
                <w:rFonts w:ascii="Myriad Pro" w:eastAsia="Times New Roman" w:hAnsi="Myriad Pro" w:cs="Calibri"/>
                <w:color w:val="000000"/>
                <w:sz w:val="22"/>
                <w:szCs w:val="22"/>
                <w:lang w:val="en-US" w:eastAsia="en-US"/>
              </w:rPr>
              <w:br/>
            </w:r>
            <w:proofErr w:type="spellStart"/>
            <w:r w:rsidRPr="00BE3371">
              <w:rPr>
                <w:rFonts w:ascii="Myriad Pro" w:eastAsia="Times New Roman" w:hAnsi="Myriad Pro" w:cs="Calibri"/>
                <w:color w:val="000000"/>
                <w:sz w:val="22"/>
                <w:szCs w:val="22"/>
                <w:lang w:val="en-US" w:eastAsia="en-US"/>
              </w:rPr>
              <w:t>Upeslejas</w:t>
            </w:r>
            <w:proofErr w:type="spellEnd"/>
            <w:r w:rsidRPr="00BE3371">
              <w:rPr>
                <w:rFonts w:ascii="Myriad Pro" w:eastAsia="Times New Roman" w:hAnsi="Myriad Pro" w:cs="Calibri"/>
                <w:color w:val="000000"/>
                <w:sz w:val="22"/>
                <w:szCs w:val="22"/>
                <w:lang w:val="en-US" w:eastAsia="en-US"/>
              </w:rPr>
              <w:t xml:space="preserve"> to railway station ''</w:t>
            </w:r>
            <w:proofErr w:type="spellStart"/>
            <w:r w:rsidRPr="00BE3371">
              <w:rPr>
                <w:rFonts w:ascii="Myriad Pro" w:eastAsia="Times New Roman" w:hAnsi="Myriad Pro" w:cs="Calibri"/>
                <w:color w:val="000000"/>
                <w:sz w:val="22"/>
                <w:szCs w:val="22"/>
                <w:lang w:val="en-US" w:eastAsia="en-US"/>
              </w:rPr>
              <w:t>Rīga</w:t>
            </w:r>
            <w:proofErr w:type="spellEnd"/>
            <w:r w:rsidRPr="00BE3371">
              <w:rPr>
                <w:rFonts w:ascii="Myriad Pro" w:eastAsia="Times New Roman" w:hAnsi="Myriad Pro" w:cs="Calibri"/>
                <w:color w:val="000000"/>
                <w:sz w:val="22"/>
                <w:szCs w:val="22"/>
                <w:lang w:val="en-US" w:eastAsia="en-US"/>
              </w:rPr>
              <w:t xml:space="preserve"> – </w:t>
            </w:r>
            <w:proofErr w:type="spellStart"/>
            <w:r w:rsidRPr="00BE3371">
              <w:rPr>
                <w:rFonts w:ascii="Myriad Pro" w:eastAsia="Times New Roman" w:hAnsi="Myriad Pro" w:cs="Calibri"/>
                <w:color w:val="000000"/>
                <w:sz w:val="22"/>
                <w:szCs w:val="22"/>
                <w:lang w:val="en-US" w:eastAsia="en-US"/>
              </w:rPr>
              <w:t>Preču</w:t>
            </w:r>
            <w:proofErr w:type="spellEnd"/>
            <w:r w:rsidRPr="00BE3371">
              <w:rPr>
                <w:rFonts w:ascii="Myriad Pro" w:eastAsia="Times New Roman" w:hAnsi="Myriad Pro" w:cs="Calibri"/>
                <w:color w:val="000000"/>
                <w:sz w:val="22"/>
                <w:szCs w:val="22"/>
                <w:lang w:val="en-US" w:eastAsia="en-US"/>
              </w:rPr>
              <w:t>''</w:t>
            </w:r>
          </w:p>
        </w:tc>
        <w:tc>
          <w:tcPr>
            <w:tcW w:w="834" w:type="pct"/>
            <w:tcBorders>
              <w:top w:val="nil"/>
              <w:left w:val="nil"/>
              <w:bottom w:val="single" w:sz="4" w:space="0" w:color="auto"/>
              <w:right w:val="single" w:sz="4" w:space="0" w:color="auto"/>
            </w:tcBorders>
            <w:shd w:val="clear" w:color="auto" w:fill="auto"/>
            <w:vAlign w:val="center"/>
            <w:hideMark/>
          </w:tcPr>
          <w:p w14:paraId="5BD7444E" w14:textId="73ED6612"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4FACA3BA"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5F7AF5F2"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0B3A2C3E"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BP2.1</w:t>
            </w:r>
          </w:p>
        </w:tc>
        <w:tc>
          <w:tcPr>
            <w:tcW w:w="834" w:type="pct"/>
            <w:tcBorders>
              <w:top w:val="nil"/>
              <w:left w:val="nil"/>
              <w:bottom w:val="single" w:sz="4" w:space="0" w:color="auto"/>
              <w:right w:val="single" w:sz="4" w:space="0" w:color="auto"/>
            </w:tcBorders>
            <w:shd w:val="clear" w:color="auto" w:fill="auto"/>
            <w:noWrap/>
            <w:vAlign w:val="center"/>
            <w:hideMark/>
          </w:tcPr>
          <w:p w14:paraId="51C00C81"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B54093" w:rsidRPr="00BE3371" w14:paraId="4E58F4E5"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2D1201DE"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26DE7FAF"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BP2.2</w:t>
            </w:r>
          </w:p>
        </w:tc>
        <w:tc>
          <w:tcPr>
            <w:tcW w:w="834" w:type="pct"/>
            <w:tcBorders>
              <w:top w:val="nil"/>
              <w:left w:val="nil"/>
              <w:bottom w:val="single" w:sz="4" w:space="0" w:color="auto"/>
              <w:right w:val="single" w:sz="4" w:space="0" w:color="auto"/>
            </w:tcBorders>
            <w:shd w:val="clear" w:color="auto" w:fill="auto"/>
            <w:noWrap/>
            <w:vAlign w:val="center"/>
            <w:hideMark/>
          </w:tcPr>
          <w:p w14:paraId="40D534D7"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B54093" w:rsidRPr="00BE3371" w14:paraId="6C5DB01A"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45B7D865"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38F5876A"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BP2.3</w:t>
            </w:r>
          </w:p>
        </w:tc>
        <w:tc>
          <w:tcPr>
            <w:tcW w:w="834" w:type="pct"/>
            <w:tcBorders>
              <w:top w:val="nil"/>
              <w:left w:val="nil"/>
              <w:bottom w:val="single" w:sz="4" w:space="0" w:color="auto"/>
              <w:right w:val="single" w:sz="4" w:space="0" w:color="auto"/>
            </w:tcBorders>
            <w:shd w:val="clear" w:color="auto" w:fill="auto"/>
            <w:noWrap/>
            <w:vAlign w:val="center"/>
            <w:hideMark/>
          </w:tcPr>
          <w:p w14:paraId="3E58B67D" w14:textId="77777777" w:rsidR="00B54093" w:rsidRPr="00BE3371" w:rsidRDefault="00B54093"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B54093" w:rsidRPr="00BE3371" w14:paraId="3D8F109A" w14:textId="77777777" w:rsidTr="0033351A">
        <w:trPr>
          <w:trHeight w:val="566"/>
        </w:trPr>
        <w:tc>
          <w:tcPr>
            <w:tcW w:w="32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139B55A"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2.</w:t>
            </w:r>
          </w:p>
        </w:tc>
        <w:tc>
          <w:tcPr>
            <w:tcW w:w="3845" w:type="pct"/>
            <w:tcBorders>
              <w:top w:val="nil"/>
              <w:left w:val="nil"/>
              <w:bottom w:val="single" w:sz="4" w:space="0" w:color="auto"/>
              <w:right w:val="single" w:sz="4" w:space="0" w:color="auto"/>
            </w:tcBorders>
            <w:shd w:val="clear" w:color="auto" w:fill="auto"/>
            <w:vAlign w:val="center"/>
            <w:hideMark/>
          </w:tcPr>
          <w:p w14:paraId="7DEF2AB6" w14:textId="77777777" w:rsidR="00B54093" w:rsidRPr="00BE3371" w:rsidRDefault="00B54093" w:rsidP="0033351A">
            <w:pP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 xml:space="preserve">Detailed Technical Design approval before upload in Building information system </w:t>
            </w:r>
          </w:p>
        </w:tc>
        <w:tc>
          <w:tcPr>
            <w:tcW w:w="834" w:type="pct"/>
            <w:tcBorders>
              <w:top w:val="nil"/>
              <w:left w:val="nil"/>
              <w:bottom w:val="single" w:sz="4" w:space="0" w:color="auto"/>
              <w:right w:val="single" w:sz="4" w:space="0" w:color="auto"/>
            </w:tcBorders>
            <w:shd w:val="clear" w:color="auto" w:fill="auto"/>
            <w:noWrap/>
            <w:vAlign w:val="center"/>
            <w:hideMark/>
          </w:tcPr>
          <w:p w14:paraId="5B469355"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16</w:t>
            </w:r>
          </w:p>
        </w:tc>
      </w:tr>
      <w:tr w:rsidR="00B54093" w:rsidRPr="00BE3371" w14:paraId="437A7AE7" w14:textId="77777777" w:rsidTr="0033351A">
        <w:trPr>
          <w:trHeight w:val="626"/>
        </w:trPr>
        <w:tc>
          <w:tcPr>
            <w:tcW w:w="322" w:type="pct"/>
            <w:vMerge/>
            <w:tcBorders>
              <w:top w:val="nil"/>
              <w:left w:val="single" w:sz="4" w:space="0" w:color="auto"/>
              <w:bottom w:val="single" w:sz="4" w:space="0" w:color="000000"/>
              <w:right w:val="single" w:sz="4" w:space="0" w:color="auto"/>
            </w:tcBorders>
            <w:vAlign w:val="center"/>
            <w:hideMark/>
          </w:tcPr>
          <w:p w14:paraId="347CACED"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nil"/>
            </w:tcBorders>
            <w:shd w:val="clear" w:color="auto" w:fill="auto"/>
            <w:vAlign w:val="center"/>
            <w:hideMark/>
          </w:tcPr>
          <w:p w14:paraId="2E02D6CB"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3  </w:t>
            </w:r>
            <w:r w:rsidRPr="00BE3371">
              <w:rPr>
                <w:rFonts w:ascii="Myriad Pro" w:eastAsia="Times New Roman" w:hAnsi="Myriad Pro" w:cs="Calibri"/>
                <w:color w:val="000000"/>
                <w:sz w:val="22"/>
                <w:szCs w:val="22"/>
                <w:lang w:val="en-US" w:eastAsia="en-US"/>
              </w:rPr>
              <w:br/>
              <w:t xml:space="preserve">Riga International Airport to Misa  </w:t>
            </w:r>
          </w:p>
        </w:tc>
        <w:tc>
          <w:tcPr>
            <w:tcW w:w="834" w:type="pct"/>
            <w:tcBorders>
              <w:top w:val="nil"/>
              <w:left w:val="nil"/>
              <w:bottom w:val="single" w:sz="4" w:space="0" w:color="auto"/>
              <w:right w:val="single" w:sz="4" w:space="0" w:color="auto"/>
            </w:tcBorders>
            <w:shd w:val="clear" w:color="auto" w:fill="auto"/>
            <w:vAlign w:val="center"/>
            <w:hideMark/>
          </w:tcPr>
          <w:p w14:paraId="3DF6E34B" w14:textId="6DE88235"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4375CA32"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4CC9D4C5"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75F47622"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BP3.7 </w:t>
            </w:r>
          </w:p>
        </w:tc>
        <w:tc>
          <w:tcPr>
            <w:tcW w:w="834" w:type="pct"/>
            <w:tcBorders>
              <w:top w:val="nil"/>
              <w:left w:val="nil"/>
              <w:bottom w:val="single" w:sz="4" w:space="0" w:color="auto"/>
              <w:right w:val="single" w:sz="4" w:space="0" w:color="auto"/>
            </w:tcBorders>
            <w:shd w:val="clear" w:color="auto" w:fill="auto"/>
            <w:noWrap/>
            <w:vAlign w:val="center"/>
            <w:hideMark/>
          </w:tcPr>
          <w:p w14:paraId="3E64FE1F"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7</w:t>
            </w:r>
          </w:p>
        </w:tc>
      </w:tr>
      <w:tr w:rsidR="00B54093" w:rsidRPr="00BE3371" w14:paraId="78C0E403"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18DABF53"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1AEAA0DB"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BP3.6 </w:t>
            </w:r>
          </w:p>
        </w:tc>
        <w:tc>
          <w:tcPr>
            <w:tcW w:w="834" w:type="pct"/>
            <w:tcBorders>
              <w:top w:val="nil"/>
              <w:left w:val="nil"/>
              <w:bottom w:val="single" w:sz="4" w:space="0" w:color="auto"/>
              <w:right w:val="single" w:sz="4" w:space="0" w:color="auto"/>
            </w:tcBorders>
            <w:shd w:val="clear" w:color="auto" w:fill="auto"/>
            <w:noWrap/>
            <w:vAlign w:val="center"/>
            <w:hideMark/>
          </w:tcPr>
          <w:p w14:paraId="3629B2E6"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7</w:t>
            </w:r>
          </w:p>
        </w:tc>
      </w:tr>
      <w:tr w:rsidR="00B54093" w:rsidRPr="00BE3371" w14:paraId="3AAD87CF"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1AF84BB7"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427D7270"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BP3.5 </w:t>
            </w:r>
          </w:p>
        </w:tc>
        <w:tc>
          <w:tcPr>
            <w:tcW w:w="834" w:type="pct"/>
            <w:tcBorders>
              <w:top w:val="nil"/>
              <w:left w:val="nil"/>
              <w:bottom w:val="single" w:sz="4" w:space="0" w:color="auto"/>
              <w:right w:val="single" w:sz="4" w:space="0" w:color="auto"/>
            </w:tcBorders>
            <w:shd w:val="clear" w:color="auto" w:fill="auto"/>
            <w:noWrap/>
            <w:vAlign w:val="center"/>
            <w:hideMark/>
          </w:tcPr>
          <w:p w14:paraId="619C0D0D"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7</w:t>
            </w:r>
          </w:p>
        </w:tc>
      </w:tr>
      <w:tr w:rsidR="00B54093" w:rsidRPr="00BE3371" w14:paraId="19948655"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2E3FF31B"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65E23A7"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BP3.3</w:t>
            </w:r>
          </w:p>
        </w:tc>
        <w:tc>
          <w:tcPr>
            <w:tcW w:w="834" w:type="pct"/>
            <w:tcBorders>
              <w:top w:val="nil"/>
              <w:left w:val="nil"/>
              <w:bottom w:val="single" w:sz="4" w:space="0" w:color="auto"/>
              <w:right w:val="single" w:sz="4" w:space="0" w:color="auto"/>
            </w:tcBorders>
            <w:shd w:val="clear" w:color="auto" w:fill="auto"/>
            <w:noWrap/>
            <w:vAlign w:val="center"/>
            <w:hideMark/>
          </w:tcPr>
          <w:p w14:paraId="448ABD7F"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8</w:t>
            </w:r>
          </w:p>
        </w:tc>
      </w:tr>
      <w:tr w:rsidR="00B54093" w:rsidRPr="00BE3371" w14:paraId="77D311DD"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71F23282"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738897F0"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BP3.2</w:t>
            </w:r>
          </w:p>
        </w:tc>
        <w:tc>
          <w:tcPr>
            <w:tcW w:w="834" w:type="pct"/>
            <w:tcBorders>
              <w:top w:val="nil"/>
              <w:left w:val="nil"/>
              <w:bottom w:val="single" w:sz="4" w:space="0" w:color="auto"/>
              <w:right w:val="single" w:sz="4" w:space="0" w:color="auto"/>
            </w:tcBorders>
            <w:shd w:val="clear" w:color="auto" w:fill="auto"/>
            <w:noWrap/>
            <w:vAlign w:val="center"/>
            <w:hideMark/>
          </w:tcPr>
          <w:p w14:paraId="5A39D5FC"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11</w:t>
            </w:r>
          </w:p>
        </w:tc>
      </w:tr>
      <w:tr w:rsidR="00B54093" w:rsidRPr="00BE3371" w14:paraId="35BA421D"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77614C02"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AADEB5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BP3.1</w:t>
            </w:r>
          </w:p>
        </w:tc>
        <w:tc>
          <w:tcPr>
            <w:tcW w:w="834" w:type="pct"/>
            <w:tcBorders>
              <w:top w:val="nil"/>
              <w:left w:val="nil"/>
              <w:bottom w:val="single" w:sz="4" w:space="0" w:color="auto"/>
              <w:right w:val="single" w:sz="4" w:space="0" w:color="auto"/>
            </w:tcBorders>
            <w:shd w:val="clear" w:color="auto" w:fill="auto"/>
            <w:noWrap/>
            <w:vAlign w:val="center"/>
            <w:hideMark/>
          </w:tcPr>
          <w:p w14:paraId="2D29C012"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11</w:t>
            </w:r>
          </w:p>
        </w:tc>
      </w:tr>
      <w:tr w:rsidR="00B54093" w:rsidRPr="00BE3371" w14:paraId="3AB46F6A"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458728A1"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D2E770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BP3.4</w:t>
            </w:r>
          </w:p>
        </w:tc>
        <w:tc>
          <w:tcPr>
            <w:tcW w:w="834" w:type="pct"/>
            <w:tcBorders>
              <w:top w:val="nil"/>
              <w:left w:val="nil"/>
              <w:bottom w:val="single" w:sz="4" w:space="0" w:color="auto"/>
              <w:right w:val="single" w:sz="4" w:space="0" w:color="auto"/>
            </w:tcBorders>
            <w:shd w:val="clear" w:color="auto" w:fill="auto"/>
            <w:noWrap/>
            <w:vAlign w:val="center"/>
            <w:hideMark/>
          </w:tcPr>
          <w:p w14:paraId="2A9895B8"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14</w:t>
            </w:r>
          </w:p>
        </w:tc>
      </w:tr>
      <w:tr w:rsidR="00B54093" w:rsidRPr="00BE3371" w14:paraId="3249827F" w14:textId="77777777" w:rsidTr="0033351A">
        <w:trPr>
          <w:trHeight w:val="626"/>
        </w:trPr>
        <w:tc>
          <w:tcPr>
            <w:tcW w:w="322" w:type="pct"/>
            <w:vMerge/>
            <w:tcBorders>
              <w:top w:val="nil"/>
              <w:left w:val="single" w:sz="4" w:space="0" w:color="auto"/>
              <w:bottom w:val="single" w:sz="4" w:space="0" w:color="000000"/>
              <w:right w:val="single" w:sz="4" w:space="0" w:color="auto"/>
            </w:tcBorders>
            <w:vAlign w:val="center"/>
            <w:hideMark/>
          </w:tcPr>
          <w:p w14:paraId="3722F87F"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nil"/>
            </w:tcBorders>
            <w:shd w:val="clear" w:color="auto" w:fill="auto"/>
            <w:vAlign w:val="center"/>
            <w:hideMark/>
          </w:tcPr>
          <w:p w14:paraId="53A3E27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2 </w:t>
            </w:r>
            <w:r w:rsidRPr="00BE3371">
              <w:rPr>
                <w:rFonts w:ascii="Myriad Pro" w:eastAsia="Times New Roman" w:hAnsi="Myriad Pro" w:cs="Calibri"/>
                <w:color w:val="000000"/>
                <w:sz w:val="22"/>
                <w:szCs w:val="22"/>
                <w:lang w:val="en-US" w:eastAsia="en-US"/>
              </w:rPr>
              <w:br/>
            </w:r>
            <w:proofErr w:type="spellStart"/>
            <w:r w:rsidRPr="00BE3371">
              <w:rPr>
                <w:rFonts w:ascii="Myriad Pro" w:eastAsia="Times New Roman" w:hAnsi="Myriad Pro" w:cs="Calibri"/>
                <w:color w:val="000000"/>
                <w:sz w:val="22"/>
                <w:szCs w:val="22"/>
                <w:lang w:val="en-US" w:eastAsia="en-US"/>
              </w:rPr>
              <w:t>Upeslejas</w:t>
            </w:r>
            <w:proofErr w:type="spellEnd"/>
            <w:r w:rsidRPr="00BE3371">
              <w:rPr>
                <w:rFonts w:ascii="Myriad Pro" w:eastAsia="Times New Roman" w:hAnsi="Myriad Pro" w:cs="Calibri"/>
                <w:color w:val="000000"/>
                <w:sz w:val="22"/>
                <w:szCs w:val="22"/>
                <w:lang w:val="en-US" w:eastAsia="en-US"/>
              </w:rPr>
              <w:t xml:space="preserve"> to railway station ''</w:t>
            </w:r>
            <w:proofErr w:type="spellStart"/>
            <w:r w:rsidRPr="00BE3371">
              <w:rPr>
                <w:rFonts w:ascii="Myriad Pro" w:eastAsia="Times New Roman" w:hAnsi="Myriad Pro" w:cs="Calibri"/>
                <w:color w:val="000000"/>
                <w:sz w:val="22"/>
                <w:szCs w:val="22"/>
                <w:lang w:val="en-US" w:eastAsia="en-US"/>
              </w:rPr>
              <w:t>Rīga</w:t>
            </w:r>
            <w:proofErr w:type="spellEnd"/>
            <w:r w:rsidRPr="00BE3371">
              <w:rPr>
                <w:rFonts w:ascii="Myriad Pro" w:eastAsia="Times New Roman" w:hAnsi="Myriad Pro" w:cs="Calibri"/>
                <w:color w:val="000000"/>
                <w:sz w:val="22"/>
                <w:szCs w:val="22"/>
                <w:lang w:val="en-US" w:eastAsia="en-US"/>
              </w:rPr>
              <w:t xml:space="preserve"> – </w:t>
            </w:r>
            <w:proofErr w:type="spellStart"/>
            <w:r w:rsidRPr="00BE3371">
              <w:rPr>
                <w:rFonts w:ascii="Myriad Pro" w:eastAsia="Times New Roman" w:hAnsi="Myriad Pro" w:cs="Calibri"/>
                <w:color w:val="000000"/>
                <w:sz w:val="22"/>
                <w:szCs w:val="22"/>
                <w:lang w:val="en-US" w:eastAsia="en-US"/>
              </w:rPr>
              <w:t>Preču</w:t>
            </w:r>
            <w:proofErr w:type="spellEnd"/>
            <w:r w:rsidRPr="00BE3371">
              <w:rPr>
                <w:rFonts w:ascii="Myriad Pro" w:eastAsia="Times New Roman" w:hAnsi="Myriad Pro" w:cs="Calibri"/>
                <w:color w:val="000000"/>
                <w:sz w:val="22"/>
                <w:szCs w:val="22"/>
                <w:lang w:val="en-US" w:eastAsia="en-US"/>
              </w:rPr>
              <w:t>''</w:t>
            </w:r>
          </w:p>
        </w:tc>
        <w:tc>
          <w:tcPr>
            <w:tcW w:w="834" w:type="pct"/>
            <w:tcBorders>
              <w:top w:val="nil"/>
              <w:left w:val="nil"/>
              <w:bottom w:val="single" w:sz="4" w:space="0" w:color="auto"/>
              <w:right w:val="single" w:sz="4" w:space="0" w:color="auto"/>
            </w:tcBorders>
            <w:shd w:val="clear" w:color="auto" w:fill="auto"/>
            <w:vAlign w:val="center"/>
            <w:hideMark/>
          </w:tcPr>
          <w:p w14:paraId="5133261A" w14:textId="2AC87F1D"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315FE129"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49200DD0"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6DBECFEF"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BP2.1</w:t>
            </w:r>
          </w:p>
        </w:tc>
        <w:tc>
          <w:tcPr>
            <w:tcW w:w="834" w:type="pct"/>
            <w:tcBorders>
              <w:top w:val="nil"/>
              <w:left w:val="nil"/>
              <w:bottom w:val="single" w:sz="4" w:space="0" w:color="auto"/>
              <w:right w:val="single" w:sz="4" w:space="0" w:color="auto"/>
            </w:tcBorders>
            <w:shd w:val="clear" w:color="auto" w:fill="auto"/>
            <w:noWrap/>
            <w:vAlign w:val="center"/>
            <w:hideMark/>
          </w:tcPr>
          <w:p w14:paraId="4C3BE8D4"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16</w:t>
            </w:r>
          </w:p>
        </w:tc>
      </w:tr>
      <w:tr w:rsidR="00B54093" w:rsidRPr="00BE3371" w14:paraId="5EA1F472" w14:textId="77777777" w:rsidTr="0033351A">
        <w:trPr>
          <w:trHeight w:val="283"/>
        </w:trPr>
        <w:tc>
          <w:tcPr>
            <w:tcW w:w="322" w:type="pct"/>
            <w:vMerge/>
            <w:tcBorders>
              <w:top w:val="nil"/>
              <w:left w:val="single" w:sz="4" w:space="0" w:color="auto"/>
              <w:bottom w:val="single" w:sz="4" w:space="0" w:color="000000"/>
              <w:right w:val="single" w:sz="4" w:space="0" w:color="auto"/>
            </w:tcBorders>
            <w:vAlign w:val="center"/>
            <w:hideMark/>
          </w:tcPr>
          <w:p w14:paraId="464DBB0F"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2F0E0E22"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BP2.2</w:t>
            </w:r>
          </w:p>
        </w:tc>
        <w:tc>
          <w:tcPr>
            <w:tcW w:w="834" w:type="pct"/>
            <w:tcBorders>
              <w:top w:val="nil"/>
              <w:left w:val="nil"/>
              <w:bottom w:val="single" w:sz="4" w:space="0" w:color="auto"/>
              <w:right w:val="single" w:sz="4" w:space="0" w:color="auto"/>
            </w:tcBorders>
            <w:shd w:val="clear" w:color="auto" w:fill="auto"/>
            <w:noWrap/>
            <w:vAlign w:val="center"/>
            <w:hideMark/>
          </w:tcPr>
          <w:p w14:paraId="49410678"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16</w:t>
            </w:r>
          </w:p>
        </w:tc>
      </w:tr>
      <w:tr w:rsidR="00B54093" w:rsidRPr="00BE3371" w14:paraId="71B28384" w14:textId="77777777" w:rsidTr="0033351A">
        <w:trPr>
          <w:trHeight w:val="839"/>
        </w:trPr>
        <w:tc>
          <w:tcPr>
            <w:tcW w:w="322" w:type="pct"/>
            <w:vMerge/>
            <w:tcBorders>
              <w:top w:val="nil"/>
              <w:left w:val="single" w:sz="4" w:space="0" w:color="auto"/>
              <w:bottom w:val="single" w:sz="4" w:space="0" w:color="auto"/>
              <w:right w:val="single" w:sz="4" w:space="0" w:color="auto"/>
            </w:tcBorders>
            <w:vAlign w:val="center"/>
            <w:hideMark/>
          </w:tcPr>
          <w:p w14:paraId="062BA4DD"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nil"/>
              <w:left w:val="nil"/>
              <w:bottom w:val="single" w:sz="4" w:space="0" w:color="auto"/>
              <w:right w:val="single" w:sz="4" w:space="0" w:color="auto"/>
            </w:tcBorders>
            <w:shd w:val="clear" w:color="auto" w:fill="auto"/>
            <w:vAlign w:val="center"/>
            <w:hideMark/>
          </w:tcPr>
          <w:p w14:paraId="536077E5"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BP2.3</w:t>
            </w:r>
          </w:p>
        </w:tc>
        <w:tc>
          <w:tcPr>
            <w:tcW w:w="834" w:type="pct"/>
            <w:tcBorders>
              <w:top w:val="nil"/>
              <w:left w:val="nil"/>
              <w:bottom w:val="single" w:sz="4" w:space="0" w:color="auto"/>
              <w:right w:val="single" w:sz="4" w:space="0" w:color="auto"/>
            </w:tcBorders>
            <w:shd w:val="clear" w:color="auto" w:fill="auto"/>
            <w:noWrap/>
            <w:vAlign w:val="center"/>
            <w:hideMark/>
          </w:tcPr>
          <w:p w14:paraId="36E45C37"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16</w:t>
            </w:r>
          </w:p>
        </w:tc>
      </w:tr>
      <w:tr w:rsidR="00B54093" w:rsidRPr="00BE3371" w14:paraId="1B64E173" w14:textId="77777777" w:rsidTr="0033351A">
        <w:trPr>
          <w:trHeight w:val="849"/>
        </w:trPr>
        <w:tc>
          <w:tcPr>
            <w:tcW w:w="32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C617A"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lastRenderedPageBreak/>
              <w:t>3.</w:t>
            </w: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20E46F59" w14:textId="77777777" w:rsidR="00B54093" w:rsidRPr="00BE3371" w:rsidRDefault="00B54093" w:rsidP="0033351A">
            <w:pP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Approved Detailed Technical Design in Building information system by State Railway Technical Inspectorate Republic o Latvia (</w:t>
            </w:r>
            <w:proofErr w:type="spellStart"/>
            <w:r w:rsidRPr="00BE3371">
              <w:rPr>
                <w:rFonts w:ascii="Myriad Pro" w:eastAsia="Times New Roman" w:hAnsi="Myriad Pro" w:cs="Calibri"/>
                <w:b/>
                <w:bCs/>
                <w:color w:val="000000"/>
                <w:sz w:val="22"/>
                <w:szCs w:val="22"/>
                <w:lang w:val="en-US" w:eastAsia="en-US"/>
              </w:rPr>
              <w:t>VDzTi</w:t>
            </w:r>
            <w:proofErr w:type="spellEnd"/>
            <w:r w:rsidRPr="00BE3371">
              <w:rPr>
                <w:rFonts w:ascii="Myriad Pro" w:eastAsia="Times New Roman" w:hAnsi="Myriad Pro" w:cs="Calibri"/>
                <w:b/>
                <w:bCs/>
                <w:color w:val="000000"/>
                <w:sz w:val="22"/>
                <w:szCs w:val="22"/>
                <w:lang w:val="en-US" w:eastAsia="en-US"/>
              </w:rPr>
              <w:t>)</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76905DA1" w14:textId="77777777" w:rsidR="00B54093" w:rsidRPr="00BE3371" w:rsidRDefault="00B54093" w:rsidP="0033351A">
            <w:pPr>
              <w:jc w:val="center"/>
              <w:rPr>
                <w:rFonts w:ascii="Myriad Pro" w:eastAsia="Times New Roman" w:hAnsi="Myriad Pro" w:cs="Calibri"/>
                <w:b/>
                <w:bCs/>
                <w:color w:val="000000"/>
                <w:sz w:val="22"/>
                <w:szCs w:val="22"/>
                <w:lang w:val="en-US" w:eastAsia="en-US"/>
              </w:rPr>
            </w:pPr>
            <w:r w:rsidRPr="00BE3371">
              <w:rPr>
                <w:rFonts w:ascii="Myriad Pro" w:eastAsia="Times New Roman" w:hAnsi="Myriad Pro" w:cs="Calibri"/>
                <w:b/>
                <w:bCs/>
                <w:color w:val="000000"/>
                <w:sz w:val="22"/>
                <w:szCs w:val="22"/>
                <w:lang w:val="en-US" w:eastAsia="en-US"/>
              </w:rPr>
              <w:t>20</w:t>
            </w:r>
          </w:p>
        </w:tc>
      </w:tr>
      <w:tr w:rsidR="00B54093" w:rsidRPr="00BE3371" w14:paraId="688D14D0" w14:textId="77777777" w:rsidTr="0033351A">
        <w:trPr>
          <w:trHeight w:val="626"/>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0829CB47"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466815BF"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3  </w:t>
            </w:r>
            <w:r w:rsidRPr="00BE3371">
              <w:rPr>
                <w:rFonts w:ascii="Myriad Pro" w:eastAsia="Times New Roman" w:hAnsi="Myriad Pro" w:cs="Calibri"/>
                <w:color w:val="000000"/>
                <w:sz w:val="22"/>
                <w:szCs w:val="22"/>
                <w:lang w:val="en-US" w:eastAsia="en-US"/>
              </w:rPr>
              <w:br/>
              <w:t xml:space="preserve">Riga International Airport to Misa  </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707A5" w14:textId="7CC9361F"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4E5D03E7"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07646188"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30FE5C7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BP3.7 </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292D6A8A"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2</w:t>
            </w:r>
          </w:p>
        </w:tc>
      </w:tr>
      <w:tr w:rsidR="00B54093" w:rsidRPr="00BE3371" w14:paraId="04087D2C"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616B919A"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76BDB53B"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BP3.6 </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66DE950A"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2</w:t>
            </w:r>
          </w:p>
        </w:tc>
      </w:tr>
      <w:tr w:rsidR="00B54093" w:rsidRPr="00BE3371" w14:paraId="26C543C5"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54B6C0F9"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0215EEF2"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Building permit BP3.5 </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1E7C6F44"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2</w:t>
            </w:r>
          </w:p>
        </w:tc>
      </w:tr>
      <w:tr w:rsidR="00B54093" w:rsidRPr="00BE3371" w14:paraId="3B5B617E"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78C5B2A8"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5363CBEB"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BP3.3</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3692DDFF"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3</w:t>
            </w:r>
          </w:p>
        </w:tc>
      </w:tr>
      <w:tr w:rsidR="00B54093" w:rsidRPr="00BE3371" w14:paraId="786275C7"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3BB80128"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1D1121F7"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BP3.2</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3550D0AE"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5</w:t>
            </w:r>
          </w:p>
        </w:tc>
      </w:tr>
      <w:tr w:rsidR="00B54093" w:rsidRPr="00BE3371" w14:paraId="54845047"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744D59F0"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568035C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BP3.1</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0F9B5122"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w:t>
            </w:r>
            <w:r>
              <w:rPr>
                <w:rFonts w:ascii="Myriad Pro" w:eastAsia="Times New Roman" w:hAnsi="Myriad Pro" w:cs="Calibri"/>
                <w:color w:val="000000"/>
                <w:sz w:val="22"/>
                <w:szCs w:val="22"/>
                <w:lang w:val="en-US" w:eastAsia="en-US"/>
              </w:rPr>
              <w:t>5</w:t>
            </w:r>
          </w:p>
        </w:tc>
      </w:tr>
      <w:tr w:rsidR="00B54093" w:rsidRPr="00BE3371" w14:paraId="52511203"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7308A635"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2DDD271B"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BP3.4</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1832075C"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18</w:t>
            </w:r>
          </w:p>
        </w:tc>
      </w:tr>
      <w:tr w:rsidR="00B54093" w:rsidRPr="00BE3371" w14:paraId="6D3ADE49" w14:textId="77777777" w:rsidTr="0033351A">
        <w:trPr>
          <w:trHeight w:val="626"/>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0B2CE2C5"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540465B3"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 xml:space="preserve">Design </w:t>
            </w:r>
            <w:proofErr w:type="spellStart"/>
            <w:r w:rsidRPr="00BE3371">
              <w:rPr>
                <w:rFonts w:ascii="Myriad Pro" w:eastAsia="Times New Roman" w:hAnsi="Myriad Pro" w:cs="Calibri"/>
                <w:color w:val="000000"/>
                <w:sz w:val="22"/>
                <w:szCs w:val="22"/>
                <w:lang w:val="en-US" w:eastAsia="en-US"/>
              </w:rPr>
              <w:t>piority</w:t>
            </w:r>
            <w:proofErr w:type="spellEnd"/>
            <w:r w:rsidRPr="00BE3371">
              <w:rPr>
                <w:rFonts w:ascii="Myriad Pro" w:eastAsia="Times New Roman" w:hAnsi="Myriad Pro" w:cs="Calibri"/>
                <w:color w:val="000000"/>
                <w:sz w:val="22"/>
                <w:szCs w:val="22"/>
                <w:lang w:val="en-US" w:eastAsia="en-US"/>
              </w:rPr>
              <w:t xml:space="preserve"> section 2 </w:t>
            </w:r>
            <w:r w:rsidRPr="00BE3371">
              <w:rPr>
                <w:rFonts w:ascii="Myriad Pro" w:eastAsia="Times New Roman" w:hAnsi="Myriad Pro" w:cs="Calibri"/>
                <w:color w:val="000000"/>
                <w:sz w:val="22"/>
                <w:szCs w:val="22"/>
                <w:lang w:val="en-US" w:eastAsia="en-US"/>
              </w:rPr>
              <w:br/>
            </w:r>
            <w:proofErr w:type="spellStart"/>
            <w:r w:rsidRPr="00BE3371">
              <w:rPr>
                <w:rFonts w:ascii="Myriad Pro" w:eastAsia="Times New Roman" w:hAnsi="Myriad Pro" w:cs="Calibri"/>
                <w:color w:val="000000"/>
                <w:sz w:val="22"/>
                <w:szCs w:val="22"/>
                <w:lang w:val="en-US" w:eastAsia="en-US"/>
              </w:rPr>
              <w:t>Upeslejas</w:t>
            </w:r>
            <w:proofErr w:type="spellEnd"/>
            <w:r w:rsidRPr="00BE3371">
              <w:rPr>
                <w:rFonts w:ascii="Myriad Pro" w:eastAsia="Times New Roman" w:hAnsi="Myriad Pro" w:cs="Calibri"/>
                <w:color w:val="000000"/>
                <w:sz w:val="22"/>
                <w:szCs w:val="22"/>
                <w:lang w:val="en-US" w:eastAsia="en-US"/>
              </w:rPr>
              <w:t xml:space="preserve"> to railway station ''</w:t>
            </w:r>
            <w:proofErr w:type="spellStart"/>
            <w:r w:rsidRPr="00BE3371">
              <w:rPr>
                <w:rFonts w:ascii="Myriad Pro" w:eastAsia="Times New Roman" w:hAnsi="Myriad Pro" w:cs="Calibri"/>
                <w:color w:val="000000"/>
                <w:sz w:val="22"/>
                <w:szCs w:val="22"/>
                <w:lang w:val="en-US" w:eastAsia="en-US"/>
              </w:rPr>
              <w:t>Rīga</w:t>
            </w:r>
            <w:proofErr w:type="spellEnd"/>
            <w:r w:rsidRPr="00BE3371">
              <w:rPr>
                <w:rFonts w:ascii="Myriad Pro" w:eastAsia="Times New Roman" w:hAnsi="Myriad Pro" w:cs="Calibri"/>
                <w:color w:val="000000"/>
                <w:sz w:val="22"/>
                <w:szCs w:val="22"/>
                <w:lang w:val="en-US" w:eastAsia="en-US"/>
              </w:rPr>
              <w:t xml:space="preserve"> – </w:t>
            </w:r>
            <w:proofErr w:type="spellStart"/>
            <w:r w:rsidRPr="00BE3371">
              <w:rPr>
                <w:rFonts w:ascii="Myriad Pro" w:eastAsia="Times New Roman" w:hAnsi="Myriad Pro" w:cs="Calibri"/>
                <w:color w:val="000000"/>
                <w:sz w:val="22"/>
                <w:szCs w:val="22"/>
                <w:lang w:val="en-US" w:eastAsia="en-US"/>
              </w:rPr>
              <w:t>Preču</w:t>
            </w:r>
            <w:proofErr w:type="spellEnd"/>
            <w:r w:rsidRPr="00BE3371">
              <w:rPr>
                <w:rFonts w:ascii="Myriad Pro" w:eastAsia="Times New Roman" w:hAnsi="Myriad Pro" w:cs="Calibri"/>
                <w:color w:val="000000"/>
                <w:sz w:val="22"/>
                <w:szCs w:val="22"/>
                <w:lang w:val="en-US" w:eastAsia="en-US"/>
              </w:rPr>
              <w:t>''</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BE5E77" w14:textId="68214F4F" w:rsidR="00B54093" w:rsidRPr="00BE3371" w:rsidRDefault="00B54093" w:rsidP="0033351A">
            <w:pPr>
              <w:rPr>
                <w:rFonts w:ascii="Myriad Pro" w:eastAsia="Times New Roman" w:hAnsi="Myriad Pro" w:cs="Calibri"/>
                <w:color w:val="000000"/>
                <w:sz w:val="22"/>
                <w:szCs w:val="22"/>
                <w:lang w:val="en-US" w:eastAsia="en-US"/>
              </w:rPr>
            </w:pPr>
          </w:p>
        </w:tc>
      </w:tr>
      <w:tr w:rsidR="00B54093" w:rsidRPr="00BE3371" w14:paraId="71E464AB"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066E754F"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569702A2"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BP2.1</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7A4CDDC2"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20</w:t>
            </w:r>
          </w:p>
        </w:tc>
      </w:tr>
      <w:tr w:rsidR="00B54093" w:rsidRPr="00BE3371" w14:paraId="265DD821"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61F6E470"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57A68151"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BP2.2</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29BBD818"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20</w:t>
            </w:r>
          </w:p>
        </w:tc>
      </w:tr>
      <w:tr w:rsidR="00B54093" w:rsidRPr="00BE3371" w14:paraId="5F34418A" w14:textId="77777777" w:rsidTr="0033351A">
        <w:trPr>
          <w:trHeight w:val="283"/>
        </w:trPr>
        <w:tc>
          <w:tcPr>
            <w:tcW w:w="322" w:type="pct"/>
            <w:vMerge/>
            <w:tcBorders>
              <w:top w:val="single" w:sz="4" w:space="0" w:color="auto"/>
              <w:left w:val="single" w:sz="4" w:space="0" w:color="auto"/>
              <w:bottom w:val="single" w:sz="4" w:space="0" w:color="auto"/>
              <w:right w:val="single" w:sz="4" w:space="0" w:color="auto"/>
            </w:tcBorders>
            <w:vAlign w:val="center"/>
            <w:hideMark/>
          </w:tcPr>
          <w:p w14:paraId="7939216F" w14:textId="77777777" w:rsidR="00B54093" w:rsidRPr="00BE3371" w:rsidRDefault="00B54093" w:rsidP="0033351A">
            <w:pPr>
              <w:rPr>
                <w:rFonts w:ascii="Myriad Pro" w:eastAsia="Times New Roman" w:hAnsi="Myriad Pro" w:cs="Calibri"/>
                <w:b/>
                <w:bCs/>
                <w:color w:val="000000"/>
                <w:sz w:val="22"/>
                <w:szCs w:val="22"/>
                <w:lang w:val="en-US" w:eastAsia="en-US"/>
              </w:rPr>
            </w:pPr>
          </w:p>
        </w:tc>
        <w:tc>
          <w:tcPr>
            <w:tcW w:w="3845" w:type="pct"/>
            <w:tcBorders>
              <w:top w:val="single" w:sz="4" w:space="0" w:color="auto"/>
              <w:left w:val="nil"/>
              <w:bottom w:val="single" w:sz="4" w:space="0" w:color="auto"/>
              <w:right w:val="single" w:sz="4" w:space="0" w:color="auto"/>
            </w:tcBorders>
            <w:shd w:val="clear" w:color="auto" w:fill="auto"/>
            <w:vAlign w:val="center"/>
            <w:hideMark/>
          </w:tcPr>
          <w:p w14:paraId="1FC4890D" w14:textId="77777777" w:rsidR="00B54093" w:rsidRPr="00BE3371" w:rsidRDefault="00B54093" w:rsidP="0033351A">
            <w:pP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Building permit BP2.3</w:t>
            </w:r>
          </w:p>
        </w:tc>
        <w:tc>
          <w:tcPr>
            <w:tcW w:w="834" w:type="pct"/>
            <w:tcBorders>
              <w:top w:val="single" w:sz="4" w:space="0" w:color="auto"/>
              <w:left w:val="nil"/>
              <w:bottom w:val="single" w:sz="4" w:space="0" w:color="auto"/>
              <w:right w:val="single" w:sz="4" w:space="0" w:color="auto"/>
            </w:tcBorders>
            <w:shd w:val="clear" w:color="auto" w:fill="auto"/>
            <w:noWrap/>
            <w:vAlign w:val="center"/>
            <w:hideMark/>
          </w:tcPr>
          <w:p w14:paraId="51CA7696" w14:textId="77777777" w:rsidR="00B54093" w:rsidRPr="00BE3371" w:rsidRDefault="00B54093" w:rsidP="0033351A">
            <w:pPr>
              <w:jc w:val="center"/>
              <w:rPr>
                <w:rFonts w:ascii="Myriad Pro" w:eastAsia="Times New Roman" w:hAnsi="Myriad Pro" w:cs="Calibri"/>
                <w:color w:val="000000"/>
                <w:sz w:val="22"/>
                <w:szCs w:val="22"/>
                <w:lang w:val="en-US" w:eastAsia="en-US"/>
              </w:rPr>
            </w:pPr>
            <w:r w:rsidRPr="00BE3371">
              <w:rPr>
                <w:rFonts w:ascii="Myriad Pro" w:eastAsia="Times New Roman" w:hAnsi="Myriad Pro" w:cs="Calibri"/>
                <w:color w:val="000000"/>
                <w:sz w:val="22"/>
                <w:szCs w:val="22"/>
                <w:lang w:val="en-US" w:eastAsia="en-US"/>
              </w:rPr>
              <w:t>20</w:t>
            </w:r>
          </w:p>
        </w:tc>
      </w:tr>
    </w:tbl>
    <w:p w14:paraId="2DDFEC14" w14:textId="77777777" w:rsidR="00180387" w:rsidRDefault="00180387" w:rsidP="00A24A80">
      <w:pPr>
        <w:rPr>
          <w:rFonts w:ascii="Times New Roman" w:hAnsi="Times New Roman" w:cs="Times New Roman"/>
        </w:rPr>
      </w:pPr>
    </w:p>
    <w:tbl>
      <w:tblPr>
        <w:tblW w:w="5000" w:type="pct"/>
        <w:tblLook w:val="04A0" w:firstRow="1" w:lastRow="0" w:firstColumn="1" w:lastColumn="0" w:noHBand="0" w:noVBand="1"/>
      </w:tblPr>
      <w:tblGrid>
        <w:gridCol w:w="541"/>
        <w:gridCol w:w="6701"/>
        <w:gridCol w:w="1814"/>
      </w:tblGrid>
      <w:tr w:rsidR="005328AD" w:rsidRPr="00515F71" w14:paraId="2CDE48EF" w14:textId="77777777" w:rsidTr="0033351A">
        <w:trPr>
          <w:trHeight w:val="1132"/>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FF515" w14:textId="77777777" w:rsidR="005328AD" w:rsidRPr="00515F71" w:rsidRDefault="005328AD" w:rsidP="0033351A">
            <w:pPr>
              <w:jc w:val="center"/>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No.</w:t>
            </w: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99F9B9" w14:textId="77777777" w:rsidR="005328AD" w:rsidRPr="00515F71" w:rsidRDefault="005328AD" w:rsidP="0033351A">
            <w:pPr>
              <w:jc w:val="center"/>
              <w:rPr>
                <w:rFonts w:ascii="Myriad Pro" w:eastAsia="Times New Roman" w:hAnsi="Myriad Pro" w:cs="Calibri"/>
                <w:b/>
                <w:bCs/>
                <w:color w:val="000000"/>
                <w:sz w:val="22"/>
                <w:szCs w:val="22"/>
                <w:lang w:val="en-US" w:eastAsia="en-US"/>
              </w:rPr>
            </w:pPr>
            <w:r>
              <w:rPr>
                <w:rFonts w:ascii="Myriad Pro" w:eastAsia="Times New Roman" w:hAnsi="Myriad Pro" w:cs="Calibri"/>
                <w:b/>
                <w:bCs/>
                <w:color w:val="000000"/>
                <w:sz w:val="22"/>
                <w:szCs w:val="22"/>
                <w:lang w:val="en-US" w:eastAsia="en-US"/>
              </w:rPr>
              <w:t>Item</w:t>
            </w:r>
          </w:p>
        </w:tc>
        <w:tc>
          <w:tcPr>
            <w:tcW w:w="828" w:type="pct"/>
            <w:tcBorders>
              <w:top w:val="single" w:sz="4" w:space="0" w:color="auto"/>
              <w:left w:val="nil"/>
              <w:bottom w:val="nil"/>
              <w:right w:val="single" w:sz="4" w:space="0" w:color="auto"/>
            </w:tcBorders>
            <w:shd w:val="clear" w:color="auto" w:fill="auto"/>
            <w:vAlign w:val="center"/>
            <w:hideMark/>
          </w:tcPr>
          <w:p w14:paraId="790E18E7" w14:textId="77777777" w:rsidR="005328AD" w:rsidRPr="00515F71" w:rsidRDefault="005328AD" w:rsidP="0033351A">
            <w:pPr>
              <w:jc w:val="center"/>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Deadline</w:t>
            </w:r>
            <w:r w:rsidRPr="00515F71">
              <w:rPr>
                <w:rFonts w:ascii="Myriad Pro" w:eastAsia="Times New Roman" w:hAnsi="Myriad Pro" w:cs="Calibri"/>
                <w:b/>
                <w:bCs/>
                <w:color w:val="000000"/>
                <w:sz w:val="22"/>
                <w:szCs w:val="22"/>
                <w:lang w:val="en-US" w:eastAsia="en-US"/>
              </w:rPr>
              <w:br/>
              <w:t>(months from Commencement Date)</w:t>
            </w:r>
          </w:p>
        </w:tc>
      </w:tr>
      <w:tr w:rsidR="005328AD" w:rsidRPr="00515F71" w14:paraId="66975644" w14:textId="77777777" w:rsidTr="0033351A">
        <w:trPr>
          <w:trHeight w:val="283"/>
        </w:trPr>
        <w:tc>
          <w:tcPr>
            <w:tcW w:w="32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0CBC5" w14:textId="77777777" w:rsidR="005328AD" w:rsidRPr="00515F71" w:rsidRDefault="005328AD" w:rsidP="0033351A">
            <w:pPr>
              <w:jc w:val="center"/>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4</w:t>
            </w: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41B62154" w14:textId="77777777" w:rsidR="005328AD" w:rsidRPr="00515F71" w:rsidRDefault="005328AD" w:rsidP="0033351A">
            <w:pPr>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First stage investigations</w:t>
            </w:r>
          </w:p>
        </w:tc>
        <w:tc>
          <w:tcPr>
            <w:tcW w:w="828" w:type="pct"/>
            <w:tcBorders>
              <w:top w:val="single" w:sz="4" w:space="0" w:color="auto"/>
              <w:left w:val="nil"/>
              <w:bottom w:val="single" w:sz="4" w:space="0" w:color="auto"/>
              <w:right w:val="single" w:sz="4" w:space="0" w:color="auto"/>
            </w:tcBorders>
            <w:shd w:val="clear" w:color="auto" w:fill="auto"/>
            <w:noWrap/>
            <w:vAlign w:val="center"/>
            <w:hideMark/>
          </w:tcPr>
          <w:p w14:paraId="0329686A"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39F2C2DC" w14:textId="77777777" w:rsidTr="0033351A">
        <w:trPr>
          <w:trHeight w:val="566"/>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56D54B8A"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4FBFDFFF" w14:textId="77777777" w:rsidR="005328AD" w:rsidRPr="00515F71" w:rsidRDefault="005328AD" w:rsidP="0033351A">
            <w:pPr>
              <w:ind w:firstLineChars="100" w:firstLine="221"/>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Initial phase SI (1.1)</w:t>
            </w:r>
            <w:r w:rsidRPr="00515F71">
              <w:rPr>
                <w:rFonts w:ascii="Myriad Pro" w:eastAsia="Times New Roman" w:hAnsi="Myriad Pro" w:cs="Calibri"/>
                <w:b/>
                <w:bCs/>
                <w:color w:val="000000"/>
                <w:sz w:val="22"/>
                <w:szCs w:val="22"/>
                <w:lang w:val="en-US" w:eastAsia="en-US"/>
              </w:rPr>
              <w:br/>
              <w:t>Verification investigations (20% of the 1.2 scope)</w:t>
            </w:r>
            <w:r>
              <w:rPr>
                <w:rStyle w:val="FootnoteReference"/>
                <w:rFonts w:ascii="Myriad Pro" w:eastAsia="Times New Roman" w:hAnsi="Myriad Pro" w:cs="Calibri"/>
                <w:b/>
                <w:bCs/>
                <w:color w:val="000000"/>
                <w:sz w:val="22"/>
                <w:szCs w:val="22"/>
                <w:lang w:val="en-US" w:eastAsia="en-US"/>
              </w:rPr>
              <w:footnoteReference w:id="2"/>
            </w:r>
          </w:p>
        </w:tc>
        <w:tc>
          <w:tcPr>
            <w:tcW w:w="828" w:type="pct"/>
            <w:tcBorders>
              <w:top w:val="nil"/>
              <w:left w:val="nil"/>
              <w:bottom w:val="single" w:sz="4" w:space="0" w:color="auto"/>
              <w:right w:val="single" w:sz="4" w:space="0" w:color="auto"/>
            </w:tcBorders>
            <w:shd w:val="clear" w:color="auto" w:fill="auto"/>
            <w:noWrap/>
            <w:vAlign w:val="center"/>
            <w:hideMark/>
          </w:tcPr>
          <w:p w14:paraId="0F0124F0"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27A77A27"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312A4A30"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3E6CEC3A"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6m </w:t>
            </w:r>
          </w:p>
        </w:tc>
        <w:tc>
          <w:tcPr>
            <w:tcW w:w="828" w:type="pct"/>
            <w:tcBorders>
              <w:top w:val="nil"/>
              <w:left w:val="nil"/>
              <w:bottom w:val="single" w:sz="4" w:space="0" w:color="auto"/>
              <w:right w:val="single" w:sz="4" w:space="0" w:color="auto"/>
            </w:tcBorders>
            <w:shd w:val="clear" w:color="auto" w:fill="auto"/>
            <w:noWrap/>
            <w:vAlign w:val="center"/>
            <w:hideMark/>
          </w:tcPr>
          <w:p w14:paraId="73AF5046"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674CB238"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5F05F339"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0250AF5F"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6m</w:t>
            </w:r>
          </w:p>
        </w:tc>
        <w:tc>
          <w:tcPr>
            <w:tcW w:w="828" w:type="pct"/>
            <w:tcBorders>
              <w:top w:val="nil"/>
              <w:left w:val="nil"/>
              <w:bottom w:val="single" w:sz="4" w:space="0" w:color="auto"/>
              <w:right w:val="single" w:sz="4" w:space="0" w:color="auto"/>
            </w:tcBorders>
            <w:shd w:val="clear" w:color="auto" w:fill="auto"/>
            <w:noWrap/>
            <w:vAlign w:val="center"/>
            <w:hideMark/>
          </w:tcPr>
          <w:p w14:paraId="6C6484EF"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1DC44F40"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045E06C2"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2635EFFC"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6-10m </w:t>
            </w:r>
          </w:p>
        </w:tc>
        <w:tc>
          <w:tcPr>
            <w:tcW w:w="828" w:type="pct"/>
            <w:tcBorders>
              <w:top w:val="nil"/>
              <w:left w:val="nil"/>
              <w:bottom w:val="single" w:sz="4" w:space="0" w:color="auto"/>
              <w:right w:val="single" w:sz="4" w:space="0" w:color="auto"/>
            </w:tcBorders>
            <w:shd w:val="clear" w:color="auto" w:fill="auto"/>
            <w:noWrap/>
            <w:vAlign w:val="center"/>
            <w:hideMark/>
          </w:tcPr>
          <w:p w14:paraId="7E44502A"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6FC652E3"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0F21049F"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00BB0E59"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6-10m</w:t>
            </w:r>
          </w:p>
        </w:tc>
        <w:tc>
          <w:tcPr>
            <w:tcW w:w="828" w:type="pct"/>
            <w:tcBorders>
              <w:top w:val="nil"/>
              <w:left w:val="nil"/>
              <w:bottom w:val="single" w:sz="4" w:space="0" w:color="auto"/>
              <w:right w:val="single" w:sz="4" w:space="0" w:color="auto"/>
            </w:tcBorders>
            <w:shd w:val="clear" w:color="auto" w:fill="auto"/>
            <w:noWrap/>
            <w:vAlign w:val="center"/>
            <w:hideMark/>
          </w:tcPr>
          <w:p w14:paraId="232223DB"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463F3E8D"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2666BB00"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4E20B9DA"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25-50m</w:t>
            </w:r>
          </w:p>
        </w:tc>
        <w:tc>
          <w:tcPr>
            <w:tcW w:w="828" w:type="pct"/>
            <w:tcBorders>
              <w:top w:val="nil"/>
              <w:left w:val="nil"/>
              <w:bottom w:val="single" w:sz="4" w:space="0" w:color="auto"/>
              <w:right w:val="single" w:sz="4" w:space="0" w:color="auto"/>
            </w:tcBorders>
            <w:shd w:val="clear" w:color="auto" w:fill="auto"/>
            <w:noWrap/>
            <w:vAlign w:val="center"/>
            <w:hideMark/>
          </w:tcPr>
          <w:p w14:paraId="5886CBA4"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16</w:t>
            </w:r>
          </w:p>
        </w:tc>
      </w:tr>
      <w:tr w:rsidR="005328AD" w:rsidRPr="00515F71" w14:paraId="73B24D5A"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034F7740"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1A9E856E" w14:textId="77777777" w:rsidR="005328AD" w:rsidRPr="00515F71" w:rsidRDefault="005328AD" w:rsidP="0033351A">
            <w:pPr>
              <w:ind w:firstLineChars="100" w:firstLine="221"/>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Remaining phase SI (phase 1.2)</w:t>
            </w:r>
            <w:r>
              <w:rPr>
                <w:rStyle w:val="FootnoteReference"/>
                <w:rFonts w:ascii="Myriad Pro" w:eastAsia="Times New Roman" w:hAnsi="Myriad Pro" w:cs="Calibri"/>
                <w:b/>
                <w:bCs/>
                <w:color w:val="000000"/>
                <w:sz w:val="22"/>
                <w:szCs w:val="22"/>
                <w:lang w:val="en-US" w:eastAsia="en-US"/>
              </w:rPr>
              <w:footnoteReference w:id="3"/>
            </w:r>
          </w:p>
        </w:tc>
        <w:tc>
          <w:tcPr>
            <w:tcW w:w="828" w:type="pct"/>
            <w:tcBorders>
              <w:top w:val="nil"/>
              <w:left w:val="nil"/>
              <w:bottom w:val="single" w:sz="4" w:space="0" w:color="auto"/>
              <w:right w:val="single" w:sz="4" w:space="0" w:color="auto"/>
            </w:tcBorders>
            <w:shd w:val="clear" w:color="auto" w:fill="auto"/>
            <w:noWrap/>
            <w:vAlign w:val="center"/>
            <w:hideMark/>
          </w:tcPr>
          <w:p w14:paraId="4E7182C3"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386CE6F7"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1A4E5FB9"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4BBAF095"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6m </w:t>
            </w:r>
          </w:p>
        </w:tc>
        <w:tc>
          <w:tcPr>
            <w:tcW w:w="828" w:type="pct"/>
            <w:tcBorders>
              <w:top w:val="nil"/>
              <w:left w:val="nil"/>
              <w:bottom w:val="single" w:sz="4" w:space="0" w:color="auto"/>
              <w:right w:val="single" w:sz="4" w:space="0" w:color="auto"/>
            </w:tcBorders>
            <w:shd w:val="clear" w:color="auto" w:fill="auto"/>
            <w:noWrap/>
            <w:vAlign w:val="center"/>
            <w:hideMark/>
          </w:tcPr>
          <w:p w14:paraId="5DAC5CB1"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32B6A231"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44E56474"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2F4B7E00"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6m</w:t>
            </w:r>
          </w:p>
        </w:tc>
        <w:tc>
          <w:tcPr>
            <w:tcW w:w="828" w:type="pct"/>
            <w:tcBorders>
              <w:top w:val="nil"/>
              <w:left w:val="nil"/>
              <w:bottom w:val="single" w:sz="4" w:space="0" w:color="auto"/>
              <w:right w:val="single" w:sz="4" w:space="0" w:color="auto"/>
            </w:tcBorders>
            <w:shd w:val="clear" w:color="auto" w:fill="auto"/>
            <w:noWrap/>
            <w:vAlign w:val="center"/>
            <w:hideMark/>
          </w:tcPr>
          <w:p w14:paraId="7E2D80E4"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206F32F8"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2378F2EA"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720BCEED"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6-10m </w:t>
            </w:r>
          </w:p>
        </w:tc>
        <w:tc>
          <w:tcPr>
            <w:tcW w:w="828" w:type="pct"/>
            <w:tcBorders>
              <w:top w:val="nil"/>
              <w:left w:val="nil"/>
              <w:bottom w:val="single" w:sz="4" w:space="0" w:color="auto"/>
              <w:right w:val="single" w:sz="4" w:space="0" w:color="auto"/>
            </w:tcBorders>
            <w:shd w:val="clear" w:color="auto" w:fill="auto"/>
            <w:noWrap/>
            <w:vAlign w:val="center"/>
            <w:hideMark/>
          </w:tcPr>
          <w:p w14:paraId="4A0E44B8"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77E1AC9A"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65030BB0"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40E45699"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6-10m</w:t>
            </w:r>
          </w:p>
        </w:tc>
        <w:tc>
          <w:tcPr>
            <w:tcW w:w="828" w:type="pct"/>
            <w:tcBorders>
              <w:top w:val="nil"/>
              <w:left w:val="nil"/>
              <w:bottom w:val="single" w:sz="4" w:space="0" w:color="auto"/>
              <w:right w:val="single" w:sz="4" w:space="0" w:color="auto"/>
            </w:tcBorders>
            <w:shd w:val="clear" w:color="auto" w:fill="auto"/>
            <w:noWrap/>
            <w:vAlign w:val="center"/>
            <w:hideMark/>
          </w:tcPr>
          <w:p w14:paraId="12DB087F"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3A70D4EF"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27A78031"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5FED8F2C"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25-50m</w:t>
            </w:r>
          </w:p>
        </w:tc>
        <w:tc>
          <w:tcPr>
            <w:tcW w:w="828" w:type="pct"/>
            <w:tcBorders>
              <w:top w:val="nil"/>
              <w:left w:val="nil"/>
              <w:bottom w:val="single" w:sz="4" w:space="0" w:color="auto"/>
              <w:right w:val="single" w:sz="4" w:space="0" w:color="auto"/>
            </w:tcBorders>
            <w:shd w:val="clear" w:color="auto" w:fill="auto"/>
            <w:noWrap/>
            <w:vAlign w:val="center"/>
            <w:hideMark/>
          </w:tcPr>
          <w:p w14:paraId="379A6DBE" w14:textId="77777777" w:rsidR="005328AD" w:rsidRPr="00515F71" w:rsidRDefault="005328AD" w:rsidP="0033351A">
            <w:pPr>
              <w:jc w:val="center"/>
              <w:rPr>
                <w:rFonts w:ascii="Myriad Pro" w:eastAsia="Times New Roman" w:hAnsi="Myriad Pro" w:cs="Calibri"/>
                <w:color w:val="000000"/>
                <w:sz w:val="22"/>
                <w:szCs w:val="22"/>
                <w:lang w:val="en-US" w:eastAsia="en-US"/>
              </w:rPr>
            </w:pPr>
            <w:r>
              <w:rPr>
                <w:rFonts w:ascii="Myriad Pro" w:eastAsia="Times New Roman" w:hAnsi="Myriad Pro" w:cs="Calibri"/>
                <w:color w:val="000000"/>
                <w:sz w:val="22"/>
                <w:szCs w:val="22"/>
                <w:lang w:val="en-US" w:eastAsia="en-US"/>
              </w:rPr>
              <w:t>8</w:t>
            </w:r>
          </w:p>
        </w:tc>
      </w:tr>
      <w:tr w:rsidR="005328AD" w:rsidRPr="00515F71" w14:paraId="7B495A35"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15A5B689"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115853DB" w14:textId="77777777" w:rsidR="005328AD" w:rsidRPr="00515F71" w:rsidRDefault="005328AD" w:rsidP="0033351A">
            <w:pPr>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Second stage investigations</w:t>
            </w:r>
          </w:p>
        </w:tc>
        <w:tc>
          <w:tcPr>
            <w:tcW w:w="828" w:type="pct"/>
            <w:tcBorders>
              <w:top w:val="nil"/>
              <w:left w:val="nil"/>
              <w:bottom w:val="single" w:sz="4" w:space="0" w:color="auto"/>
              <w:right w:val="single" w:sz="4" w:space="0" w:color="auto"/>
            </w:tcBorders>
            <w:shd w:val="clear" w:color="auto" w:fill="auto"/>
            <w:noWrap/>
            <w:vAlign w:val="bottom"/>
            <w:hideMark/>
          </w:tcPr>
          <w:p w14:paraId="0495A0E0"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19DBE448"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4816A33B"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noWrap/>
            <w:vAlign w:val="center"/>
            <w:hideMark/>
          </w:tcPr>
          <w:p w14:paraId="2780F191" w14:textId="77777777" w:rsidR="005328AD" w:rsidRPr="00515F71" w:rsidRDefault="005328AD" w:rsidP="0033351A">
            <w:pPr>
              <w:ind w:firstLineChars="100" w:firstLine="221"/>
              <w:rPr>
                <w:rFonts w:ascii="Myriad Pro" w:eastAsia="Times New Roman" w:hAnsi="Myriad Pro" w:cs="Calibri"/>
                <w:b/>
                <w:bCs/>
                <w:color w:val="000000"/>
                <w:sz w:val="22"/>
                <w:szCs w:val="22"/>
                <w:lang w:val="en-US" w:eastAsia="en-US"/>
              </w:rPr>
            </w:pPr>
            <w:r w:rsidRPr="00515F71">
              <w:rPr>
                <w:rFonts w:ascii="Myriad Pro" w:eastAsia="Times New Roman" w:hAnsi="Myriad Pro" w:cs="Calibri"/>
                <w:b/>
                <w:bCs/>
                <w:color w:val="000000"/>
                <w:sz w:val="22"/>
                <w:szCs w:val="22"/>
                <w:lang w:val="en-US" w:eastAsia="en-US"/>
              </w:rPr>
              <w:t>Second stage SI (20% of the 1.2 scope)</w:t>
            </w:r>
          </w:p>
        </w:tc>
        <w:tc>
          <w:tcPr>
            <w:tcW w:w="828" w:type="pct"/>
            <w:tcBorders>
              <w:top w:val="nil"/>
              <w:left w:val="nil"/>
              <w:bottom w:val="single" w:sz="4" w:space="0" w:color="auto"/>
              <w:right w:val="single" w:sz="4" w:space="0" w:color="auto"/>
            </w:tcBorders>
            <w:shd w:val="clear" w:color="auto" w:fill="auto"/>
            <w:noWrap/>
            <w:vAlign w:val="bottom"/>
            <w:hideMark/>
          </w:tcPr>
          <w:p w14:paraId="18C00711"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568DAA3C"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23D14E1D"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nil"/>
              <w:left w:val="single" w:sz="4" w:space="0" w:color="auto"/>
              <w:bottom w:val="single" w:sz="4" w:space="0" w:color="auto"/>
              <w:right w:val="single" w:sz="4" w:space="0" w:color="auto"/>
            </w:tcBorders>
            <w:shd w:val="clear" w:color="auto" w:fill="auto"/>
            <w:vAlign w:val="center"/>
            <w:hideMark/>
          </w:tcPr>
          <w:p w14:paraId="2FAE6B9A"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6m </w:t>
            </w:r>
          </w:p>
        </w:tc>
        <w:tc>
          <w:tcPr>
            <w:tcW w:w="828" w:type="pct"/>
            <w:tcBorders>
              <w:top w:val="nil"/>
              <w:left w:val="nil"/>
              <w:bottom w:val="single" w:sz="4" w:space="0" w:color="auto"/>
              <w:right w:val="single" w:sz="4" w:space="0" w:color="auto"/>
            </w:tcBorders>
            <w:shd w:val="clear" w:color="auto" w:fill="auto"/>
            <w:noWrap/>
            <w:vAlign w:val="bottom"/>
            <w:hideMark/>
          </w:tcPr>
          <w:p w14:paraId="5162CE35"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5D6C1E4F"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13C8979E"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6D3762"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6m</w:t>
            </w:r>
          </w:p>
        </w:tc>
        <w:tc>
          <w:tcPr>
            <w:tcW w:w="8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259CF"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62A6D7DA"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17D39AD0"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E6D66F"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 xml:space="preserve">Boreholes 6-10m </w:t>
            </w:r>
          </w:p>
        </w:tc>
        <w:tc>
          <w:tcPr>
            <w:tcW w:w="8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D34FE"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2F3D9D58"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35B3AF65"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C906E"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6-10m</w:t>
            </w:r>
          </w:p>
        </w:tc>
        <w:tc>
          <w:tcPr>
            <w:tcW w:w="8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DA486"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4468DE95"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69CA0BC3"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22D08"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Boreholes and field tests 25-50m</w:t>
            </w:r>
          </w:p>
        </w:tc>
        <w:tc>
          <w:tcPr>
            <w:tcW w:w="8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642AE"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r w:rsidR="005328AD" w:rsidRPr="00515F71" w14:paraId="62101AB0" w14:textId="77777777" w:rsidTr="0033351A">
        <w:trPr>
          <w:trHeight w:val="283"/>
        </w:trPr>
        <w:tc>
          <w:tcPr>
            <w:tcW w:w="320" w:type="pct"/>
            <w:vMerge/>
            <w:tcBorders>
              <w:top w:val="single" w:sz="4" w:space="0" w:color="auto"/>
              <w:left w:val="single" w:sz="4" w:space="0" w:color="auto"/>
              <w:bottom w:val="single" w:sz="4" w:space="0" w:color="auto"/>
              <w:right w:val="single" w:sz="4" w:space="0" w:color="auto"/>
            </w:tcBorders>
            <w:vAlign w:val="center"/>
            <w:hideMark/>
          </w:tcPr>
          <w:p w14:paraId="062FDE03" w14:textId="77777777" w:rsidR="005328AD" w:rsidRPr="00515F71" w:rsidRDefault="005328AD" w:rsidP="0033351A">
            <w:pPr>
              <w:rPr>
                <w:rFonts w:ascii="Myriad Pro" w:eastAsia="Times New Roman" w:hAnsi="Myriad Pro" w:cs="Calibri"/>
                <w:b/>
                <w:bCs/>
                <w:color w:val="000000"/>
                <w:sz w:val="22"/>
                <w:szCs w:val="22"/>
                <w:lang w:val="en-US" w:eastAsia="en-US"/>
              </w:rPr>
            </w:pPr>
          </w:p>
        </w:tc>
        <w:tc>
          <w:tcPr>
            <w:tcW w:w="38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64D16F" w14:textId="77777777" w:rsidR="005328AD" w:rsidRPr="00515F71" w:rsidRDefault="005328AD" w:rsidP="0033351A">
            <w:pPr>
              <w:ind w:firstLineChars="200" w:firstLine="440"/>
              <w:rPr>
                <w:rFonts w:ascii="Myriad Pro" w:eastAsia="Times New Roman" w:hAnsi="Myriad Pro" w:cs="Calibri"/>
                <w:sz w:val="22"/>
                <w:szCs w:val="22"/>
                <w:lang w:val="en-US" w:eastAsia="en-US"/>
              </w:rPr>
            </w:pPr>
            <w:r w:rsidRPr="00515F71">
              <w:rPr>
                <w:rFonts w:ascii="Myriad Pro" w:eastAsia="Times New Roman" w:hAnsi="Myriad Pro" w:cs="Calibri"/>
                <w:sz w:val="22"/>
                <w:szCs w:val="22"/>
                <w:lang w:val="en-US" w:eastAsia="en-US"/>
              </w:rPr>
              <w:t>Geophysical investigations for karst (km)</w:t>
            </w:r>
          </w:p>
        </w:tc>
        <w:tc>
          <w:tcPr>
            <w:tcW w:w="82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37FF1" w14:textId="77777777" w:rsidR="005328AD" w:rsidRPr="00515F71" w:rsidRDefault="005328AD" w:rsidP="0033351A">
            <w:pPr>
              <w:jc w:val="center"/>
              <w:rPr>
                <w:rFonts w:ascii="Myriad Pro" w:eastAsia="Times New Roman" w:hAnsi="Myriad Pro" w:cs="Calibri"/>
                <w:color w:val="000000"/>
                <w:sz w:val="22"/>
                <w:szCs w:val="22"/>
                <w:lang w:val="en-US" w:eastAsia="en-US"/>
              </w:rPr>
            </w:pPr>
            <w:r w:rsidRPr="00515F71">
              <w:rPr>
                <w:rFonts w:ascii="Myriad Pro" w:eastAsia="Times New Roman" w:hAnsi="Myriad Pro" w:cs="Calibri"/>
                <w:color w:val="000000"/>
                <w:sz w:val="22"/>
                <w:szCs w:val="22"/>
                <w:lang w:val="en-US" w:eastAsia="en-US"/>
              </w:rPr>
              <w:t>20</w:t>
            </w:r>
          </w:p>
        </w:tc>
      </w:tr>
    </w:tbl>
    <w:p w14:paraId="4EB76D74" w14:textId="77777777" w:rsidR="00515F71" w:rsidRDefault="00515F71" w:rsidP="00A24A80">
      <w:pPr>
        <w:rPr>
          <w:rFonts w:ascii="Times New Roman" w:hAnsi="Times New Roman" w:cs="Times New Roman"/>
        </w:rPr>
      </w:pPr>
    </w:p>
    <w:p w14:paraId="0875C6EA" w14:textId="77777777" w:rsidR="00515F71" w:rsidRPr="00D52D9F" w:rsidRDefault="00515F71" w:rsidP="00A24A80">
      <w:pPr>
        <w:rPr>
          <w:rFonts w:ascii="Times New Roman" w:hAnsi="Times New Roman" w:cs="Times New Roman"/>
        </w:rPr>
      </w:pPr>
    </w:p>
    <w:p w14:paraId="5A571E69" w14:textId="0A9A989A" w:rsidR="00044D7A" w:rsidRPr="00AB0ABB" w:rsidRDefault="00141C07" w:rsidP="007F440C">
      <w:pPr>
        <w:pStyle w:val="ListParagraph"/>
        <w:numPr>
          <w:ilvl w:val="0"/>
          <w:numId w:val="7"/>
        </w:numPr>
        <w:ind w:left="284" w:hanging="284"/>
        <w:jc w:val="both"/>
        <w:rPr>
          <w:rFonts w:ascii="Times New Roman" w:hAnsi="Times New Roman" w:cs="Times New Roman"/>
        </w:rPr>
      </w:pPr>
      <w:r w:rsidRPr="00AB0ABB">
        <w:rPr>
          <w:rFonts w:ascii="Times New Roman" w:hAnsi="Times New Roman" w:cs="Times New Roman"/>
        </w:rPr>
        <w:t>The Consultant shall prepare and submit</w:t>
      </w:r>
      <w:r w:rsidR="00C52772" w:rsidRPr="00AB0ABB">
        <w:rPr>
          <w:rFonts w:ascii="Times New Roman" w:hAnsi="Times New Roman" w:cs="Times New Roman"/>
        </w:rPr>
        <w:t xml:space="preserve"> to the Client</w:t>
      </w:r>
      <w:r w:rsidR="00DA6852" w:rsidRPr="00AB0ABB">
        <w:rPr>
          <w:rFonts w:ascii="Times New Roman" w:hAnsi="Times New Roman" w:cs="Times New Roman"/>
        </w:rPr>
        <w:t xml:space="preserve"> </w:t>
      </w:r>
      <w:r w:rsidRPr="00AB0ABB">
        <w:rPr>
          <w:rFonts w:ascii="Times New Roman" w:hAnsi="Times New Roman" w:cs="Times New Roman"/>
        </w:rPr>
        <w:t xml:space="preserve">in </w:t>
      </w:r>
      <w:r w:rsidRPr="00AC7B57">
        <w:rPr>
          <w:rFonts w:ascii="Times New Roman" w:hAnsi="Times New Roman" w:cs="Times New Roman"/>
        </w:rPr>
        <w:t xml:space="preserve">accordance with Clause </w:t>
      </w:r>
      <w:r w:rsidR="0014357C" w:rsidRPr="00AC7B57">
        <w:rPr>
          <w:rFonts w:ascii="Times New Roman" w:hAnsi="Times New Roman" w:cs="Times New Roman"/>
        </w:rPr>
        <w:t xml:space="preserve">4.3.1 of the </w:t>
      </w:r>
      <w:r w:rsidR="001E4C4C" w:rsidRPr="00AC7B57">
        <w:rPr>
          <w:rFonts w:ascii="Times New Roman" w:hAnsi="Times New Roman" w:cs="Times New Roman"/>
        </w:rPr>
        <w:t>General Conditions</w:t>
      </w:r>
      <w:r w:rsidR="00DA1EDB" w:rsidRPr="00AC7B57">
        <w:rPr>
          <w:rFonts w:ascii="Times New Roman" w:hAnsi="Times New Roman" w:cs="Times New Roman"/>
        </w:rPr>
        <w:t xml:space="preserve"> and Particular conditions</w:t>
      </w:r>
      <w:r w:rsidR="00CA48AD" w:rsidRPr="00AC7B57">
        <w:rPr>
          <w:rFonts w:ascii="Times New Roman" w:hAnsi="Times New Roman" w:cs="Times New Roman"/>
        </w:rPr>
        <w:t>, the Programme</w:t>
      </w:r>
      <w:r w:rsidR="00044D7A" w:rsidRPr="00AC7B57">
        <w:rPr>
          <w:rFonts w:ascii="Times New Roman" w:hAnsi="Times New Roman" w:cs="Times New Roman"/>
        </w:rPr>
        <w:t>, including</w:t>
      </w:r>
      <w:r w:rsidR="00076965" w:rsidRPr="00AC7B57">
        <w:rPr>
          <w:rFonts w:ascii="Times New Roman" w:hAnsi="Times New Roman" w:cs="Times New Roman"/>
        </w:rPr>
        <w:t>, but not limited to</w:t>
      </w:r>
      <w:r w:rsidR="00044D7A" w:rsidRPr="00AB0ABB">
        <w:rPr>
          <w:rFonts w:ascii="Times New Roman" w:hAnsi="Times New Roman" w:cs="Times New Roman"/>
        </w:rPr>
        <w:t>:</w:t>
      </w:r>
    </w:p>
    <w:p w14:paraId="5298E985" w14:textId="7F51FE0D" w:rsidR="003E0C33" w:rsidRPr="00AB0ABB" w:rsidRDefault="003E0C33" w:rsidP="0058621B">
      <w:pPr>
        <w:pStyle w:val="ListParagraph"/>
        <w:numPr>
          <w:ilvl w:val="1"/>
          <w:numId w:val="7"/>
        </w:numPr>
        <w:ind w:left="851" w:hanging="567"/>
        <w:jc w:val="both"/>
        <w:rPr>
          <w:rFonts w:ascii="Times New Roman" w:hAnsi="Times New Roman" w:cs="Times New Roman"/>
        </w:rPr>
      </w:pPr>
      <w:r w:rsidRPr="00AB0ABB">
        <w:rPr>
          <w:rFonts w:ascii="Times New Roman" w:hAnsi="Times New Roman" w:cs="Times New Roman"/>
        </w:rPr>
        <w:t xml:space="preserve">the risks management section, stipulating how exactly the Consultant </w:t>
      </w:r>
      <w:r w:rsidR="0033444A" w:rsidRPr="00AB0ABB">
        <w:rPr>
          <w:rFonts w:ascii="Times New Roman" w:hAnsi="Times New Roman" w:cs="Times New Roman"/>
        </w:rPr>
        <w:t>will coves risks specified in Technical Specification, including risks deriving on the application of Technical Specification;</w:t>
      </w:r>
    </w:p>
    <w:p w14:paraId="627B86E8" w14:textId="0EA0AE32" w:rsidR="00E72CB1" w:rsidRPr="00AB0ABB" w:rsidRDefault="00E72CB1" w:rsidP="0058621B">
      <w:pPr>
        <w:pStyle w:val="ListParagraph"/>
        <w:numPr>
          <w:ilvl w:val="1"/>
          <w:numId w:val="7"/>
        </w:numPr>
        <w:ind w:left="851" w:hanging="567"/>
        <w:jc w:val="both"/>
        <w:rPr>
          <w:rFonts w:ascii="Times New Roman" w:hAnsi="Times New Roman" w:cs="Times New Roman"/>
        </w:rPr>
      </w:pPr>
      <w:r w:rsidRPr="00AB0ABB">
        <w:rPr>
          <w:rFonts w:ascii="Times New Roman" w:hAnsi="Times New Roman" w:cs="Times New Roman"/>
        </w:rPr>
        <w:t>the project organi</w:t>
      </w:r>
      <w:r w:rsidR="00CD6841" w:rsidRPr="00AB0ABB">
        <w:rPr>
          <w:rFonts w:ascii="Times New Roman" w:hAnsi="Times New Roman" w:cs="Times New Roman"/>
        </w:rPr>
        <w:t>s</w:t>
      </w:r>
      <w:r w:rsidRPr="00AB0ABB">
        <w:rPr>
          <w:rFonts w:ascii="Times New Roman" w:hAnsi="Times New Roman" w:cs="Times New Roman"/>
        </w:rPr>
        <w:t>ation chart with</w:t>
      </w:r>
      <w:r w:rsidR="00C50E21" w:rsidRPr="00AB0ABB">
        <w:rPr>
          <w:rFonts w:ascii="Times New Roman" w:hAnsi="Times New Roman" w:cs="Times New Roman"/>
        </w:rPr>
        <w:t xml:space="preserve"> key</w:t>
      </w:r>
      <w:r w:rsidR="003623DF" w:rsidRPr="00AB0ABB">
        <w:rPr>
          <w:rFonts w:ascii="Times New Roman" w:hAnsi="Times New Roman" w:cs="Times New Roman"/>
        </w:rPr>
        <w:t>-</w:t>
      </w:r>
      <w:r w:rsidR="00EE741E" w:rsidRPr="00AB0ABB">
        <w:rPr>
          <w:rFonts w:ascii="Times New Roman" w:hAnsi="Times New Roman" w:cs="Times New Roman"/>
        </w:rPr>
        <w:t xml:space="preserve">experts </w:t>
      </w:r>
      <w:r w:rsidR="002E62E2" w:rsidRPr="00AB0ABB">
        <w:rPr>
          <w:rFonts w:ascii="Times New Roman" w:hAnsi="Times New Roman" w:cs="Times New Roman"/>
        </w:rPr>
        <w:t xml:space="preserve">with names and surnames </w:t>
      </w:r>
      <w:r w:rsidR="00324AA9" w:rsidRPr="00AB0ABB">
        <w:rPr>
          <w:rFonts w:ascii="Times New Roman" w:hAnsi="Times New Roman" w:cs="Times New Roman"/>
        </w:rPr>
        <w:t xml:space="preserve">and also CV’s and supporting information proving their compliance </w:t>
      </w:r>
      <w:r w:rsidR="00EE741E" w:rsidRPr="00AB0ABB">
        <w:rPr>
          <w:rFonts w:ascii="Times New Roman" w:hAnsi="Times New Roman" w:cs="Times New Roman"/>
        </w:rPr>
        <w:t>with the</w:t>
      </w:r>
      <w:r w:rsidR="00324AA9" w:rsidRPr="00AB0ABB">
        <w:rPr>
          <w:rFonts w:ascii="Times New Roman" w:hAnsi="Times New Roman" w:cs="Times New Roman"/>
        </w:rPr>
        <w:t xml:space="preserve"> qualification and other</w:t>
      </w:r>
      <w:r w:rsidR="00C50E21" w:rsidRPr="00AB0ABB">
        <w:rPr>
          <w:rFonts w:ascii="Times New Roman" w:hAnsi="Times New Roman" w:cs="Times New Roman"/>
        </w:rPr>
        <w:t xml:space="preserve"> </w:t>
      </w:r>
      <w:r w:rsidR="00EE741E" w:rsidRPr="00AB0ABB">
        <w:rPr>
          <w:rFonts w:ascii="Times New Roman" w:hAnsi="Times New Roman" w:cs="Times New Roman"/>
        </w:rPr>
        <w:t>requirements stipulated in the Technical Specification</w:t>
      </w:r>
      <w:r w:rsidR="00D928DB" w:rsidRPr="00AB0ABB">
        <w:rPr>
          <w:rFonts w:ascii="Times New Roman" w:hAnsi="Times New Roman" w:cs="Times New Roman"/>
        </w:rPr>
        <w:t xml:space="preserve"> and </w:t>
      </w:r>
      <w:r w:rsidR="00BE434E" w:rsidRPr="00AB0ABB">
        <w:rPr>
          <w:rFonts w:ascii="Times New Roman" w:hAnsi="Times New Roman" w:cs="Times New Roman"/>
        </w:rPr>
        <w:t>addition</w:t>
      </w:r>
      <w:r w:rsidR="00674E1E" w:rsidRPr="00AB0ABB">
        <w:rPr>
          <w:rFonts w:ascii="Times New Roman" w:hAnsi="Times New Roman" w:cs="Times New Roman"/>
        </w:rPr>
        <w:t>al</w:t>
      </w:r>
      <w:r w:rsidR="00D928DB" w:rsidRPr="00AB0ABB">
        <w:rPr>
          <w:rFonts w:ascii="Times New Roman" w:hAnsi="Times New Roman" w:cs="Times New Roman"/>
        </w:rPr>
        <w:t xml:space="preserve"> experts</w:t>
      </w:r>
      <w:r w:rsidR="00EE741E" w:rsidRPr="00AB0ABB">
        <w:rPr>
          <w:rFonts w:ascii="Times New Roman" w:hAnsi="Times New Roman" w:cs="Times New Roman"/>
        </w:rPr>
        <w:t xml:space="preserve"> </w:t>
      </w:r>
      <w:r w:rsidR="00C50E21" w:rsidRPr="00AB0ABB">
        <w:rPr>
          <w:rFonts w:ascii="Times New Roman" w:hAnsi="Times New Roman" w:cs="Times New Roman"/>
        </w:rPr>
        <w:t xml:space="preserve">for each discipline </w:t>
      </w:r>
      <w:r w:rsidR="00233506" w:rsidRPr="00AB0ABB">
        <w:rPr>
          <w:rFonts w:ascii="Times New Roman" w:hAnsi="Times New Roman" w:cs="Times New Roman"/>
        </w:rPr>
        <w:t>category</w:t>
      </w:r>
      <w:r w:rsidRPr="00AB0ABB">
        <w:rPr>
          <w:rFonts w:ascii="Times New Roman" w:hAnsi="Times New Roman" w:cs="Times New Roman"/>
        </w:rPr>
        <w:t>, roles and responsibilities;</w:t>
      </w:r>
    </w:p>
    <w:p w14:paraId="69381E4A" w14:textId="5336C12C" w:rsidR="009B085D" w:rsidRPr="00AB0ABB" w:rsidRDefault="009B085D" w:rsidP="0058621B">
      <w:pPr>
        <w:pStyle w:val="ListParagraph"/>
        <w:numPr>
          <w:ilvl w:val="1"/>
          <w:numId w:val="7"/>
        </w:numPr>
        <w:ind w:left="851" w:hanging="567"/>
        <w:jc w:val="both"/>
        <w:rPr>
          <w:rFonts w:ascii="Times New Roman" w:hAnsi="Times New Roman" w:cs="Times New Roman"/>
        </w:rPr>
      </w:pPr>
      <w:r w:rsidRPr="00AB0ABB">
        <w:rPr>
          <w:rFonts w:ascii="Times New Roman" w:hAnsi="Times New Roman" w:cs="Times New Roman"/>
        </w:rPr>
        <w:t xml:space="preserve">detailed Service schedule </w:t>
      </w:r>
      <w:r w:rsidR="00D9354B" w:rsidRPr="00AB0ABB">
        <w:rPr>
          <w:rFonts w:ascii="Times New Roman" w:hAnsi="Times New Roman" w:cs="Times New Roman"/>
        </w:rPr>
        <w:t xml:space="preserve">(GANTT chart) </w:t>
      </w:r>
      <w:r w:rsidRPr="00AB0ABB">
        <w:rPr>
          <w:rFonts w:ascii="Times New Roman" w:hAnsi="Times New Roman" w:cs="Times New Roman"/>
        </w:rPr>
        <w:t xml:space="preserve">with all Service activities according to the Services that has to be provided under the Agreement. This schedule shall reflect key deliverables of the documents, reviewing and approval processes, including the time required for the </w:t>
      </w:r>
      <w:r w:rsidR="00E72CB1" w:rsidRPr="00AB0ABB">
        <w:rPr>
          <w:rFonts w:ascii="Times New Roman" w:hAnsi="Times New Roman" w:cs="Times New Roman"/>
        </w:rPr>
        <w:t xml:space="preserve">review, </w:t>
      </w:r>
      <w:r w:rsidRPr="00AB0ABB">
        <w:rPr>
          <w:rFonts w:ascii="Times New Roman" w:hAnsi="Times New Roman" w:cs="Times New Roman"/>
        </w:rPr>
        <w:t>expertise</w:t>
      </w:r>
      <w:r w:rsidR="00E72CB1" w:rsidRPr="00AB0ABB">
        <w:rPr>
          <w:rFonts w:ascii="Times New Roman" w:hAnsi="Times New Roman" w:cs="Times New Roman"/>
        </w:rPr>
        <w:t xml:space="preserve"> and other options</w:t>
      </w:r>
      <w:r w:rsidR="00C913A8" w:rsidRPr="00AB0ABB">
        <w:rPr>
          <w:rFonts w:ascii="Times New Roman" w:hAnsi="Times New Roman" w:cs="Times New Roman"/>
        </w:rPr>
        <w:t>,</w:t>
      </w:r>
      <w:r w:rsidR="00D9354B" w:rsidRPr="00AB0ABB">
        <w:rPr>
          <w:rFonts w:ascii="Times New Roman" w:hAnsi="Times New Roman" w:cs="Times New Roman"/>
        </w:rPr>
        <w:t xml:space="preserve"> clear graphically distinguished critical path</w:t>
      </w:r>
      <w:r w:rsidR="00E72CB1" w:rsidRPr="00AB0ABB">
        <w:rPr>
          <w:rFonts w:ascii="Times New Roman" w:hAnsi="Times New Roman" w:cs="Times New Roman"/>
        </w:rPr>
        <w:t>;</w:t>
      </w:r>
    </w:p>
    <w:p w14:paraId="1ED7A4E6" w14:textId="4E6F8EF3" w:rsidR="00E72CB1" w:rsidRPr="00AB0ABB" w:rsidRDefault="00E72CB1" w:rsidP="0058621B">
      <w:pPr>
        <w:pStyle w:val="ListParagraph"/>
        <w:numPr>
          <w:ilvl w:val="1"/>
          <w:numId w:val="7"/>
        </w:numPr>
        <w:ind w:left="851" w:hanging="567"/>
        <w:jc w:val="both"/>
        <w:rPr>
          <w:rFonts w:ascii="Times New Roman" w:hAnsi="Times New Roman" w:cs="Times New Roman"/>
        </w:rPr>
      </w:pPr>
      <w:r w:rsidRPr="00AB0ABB">
        <w:rPr>
          <w:rFonts w:ascii="Times New Roman" w:hAnsi="Times New Roman" w:cs="Times New Roman"/>
        </w:rPr>
        <w:t>description of the main Service processes;</w:t>
      </w:r>
    </w:p>
    <w:p w14:paraId="70284F78" w14:textId="77777777" w:rsidR="00EE2B5F" w:rsidRPr="00AB0ABB" w:rsidRDefault="00EE2B5F">
      <w:pPr>
        <w:jc w:val="both"/>
        <w:rPr>
          <w:rFonts w:ascii="Times New Roman" w:hAnsi="Times New Roman" w:cs="Times New Roman"/>
        </w:rPr>
      </w:pPr>
    </w:p>
    <w:p w14:paraId="11F25EEC" w14:textId="61C359FB" w:rsidR="009807C9" w:rsidRPr="00FE0F50" w:rsidRDefault="00044D7A" w:rsidP="00FE0F50">
      <w:pPr>
        <w:pStyle w:val="ListParagraph"/>
        <w:numPr>
          <w:ilvl w:val="0"/>
          <w:numId w:val="7"/>
        </w:numPr>
        <w:ind w:left="284" w:hanging="284"/>
        <w:jc w:val="both"/>
        <w:rPr>
          <w:rFonts w:ascii="Times New Roman" w:hAnsi="Times New Roman" w:cs="Times New Roman"/>
        </w:rPr>
      </w:pPr>
      <w:r w:rsidRPr="6E9A247A">
        <w:rPr>
          <w:rFonts w:ascii="Times New Roman" w:hAnsi="Times New Roman" w:cs="Times New Roman"/>
        </w:rPr>
        <w:t xml:space="preserve">The Programme </w:t>
      </w:r>
      <w:r w:rsidR="00D44C54" w:rsidRPr="6E9A247A">
        <w:rPr>
          <w:rFonts w:ascii="Times New Roman" w:hAnsi="Times New Roman" w:cs="Times New Roman"/>
        </w:rPr>
        <w:t xml:space="preserve">must be prepared in PDF and </w:t>
      </w:r>
      <w:r w:rsidR="007534BF" w:rsidRPr="007534BF">
        <w:rPr>
          <w:rFonts w:ascii="Times New Roman" w:hAnsi="Times New Roman" w:cs="Times New Roman"/>
        </w:rPr>
        <w:t>the latest version of Oracle Primavera P6</w:t>
      </w:r>
      <w:r w:rsidR="0062733B">
        <w:rPr>
          <w:rFonts w:ascii="Times New Roman" w:hAnsi="Times New Roman" w:cs="Times New Roman"/>
        </w:rPr>
        <w:t xml:space="preserve"> </w:t>
      </w:r>
      <w:r w:rsidR="0062733B" w:rsidRPr="0062733B">
        <w:rPr>
          <w:rFonts w:ascii="Times New Roman" w:hAnsi="Times New Roman" w:cs="Times New Roman"/>
        </w:rPr>
        <w:t>as scheduling tool and within the RBR Oracle P6 Cloud environment</w:t>
      </w:r>
      <w:r w:rsidR="0062733B">
        <w:rPr>
          <w:rFonts w:ascii="Times New Roman" w:hAnsi="Times New Roman" w:cs="Times New Roman"/>
        </w:rPr>
        <w:t>.</w:t>
      </w:r>
      <w:r w:rsidR="00BE1A58">
        <w:rPr>
          <w:rFonts w:ascii="Times New Roman" w:hAnsi="Times New Roman" w:cs="Times New Roman"/>
        </w:rPr>
        <w:t xml:space="preserve"> </w:t>
      </w:r>
      <w:r w:rsidR="00313ED5" w:rsidRPr="00313ED5">
        <w:rPr>
          <w:rFonts w:ascii="Times New Roman" w:hAnsi="Times New Roman" w:cs="Times New Roman"/>
        </w:rPr>
        <w:t>The Consultant shall develop the Programme following the requirements as specified in Appendix 1</w:t>
      </w:r>
      <w:r w:rsidR="00313ED5">
        <w:rPr>
          <w:rFonts w:ascii="Times New Roman" w:hAnsi="Times New Roman" w:cs="Times New Roman"/>
        </w:rPr>
        <w:t xml:space="preserve">, </w:t>
      </w:r>
      <w:r w:rsidR="00313ED5" w:rsidRPr="00313ED5">
        <w:rPr>
          <w:rFonts w:ascii="Times New Roman" w:hAnsi="Times New Roman" w:cs="Times New Roman"/>
        </w:rPr>
        <w:t>Technical Specification</w:t>
      </w:r>
      <w:r w:rsidR="00313ED5">
        <w:rPr>
          <w:rFonts w:ascii="Times New Roman" w:hAnsi="Times New Roman" w:cs="Times New Roman"/>
        </w:rPr>
        <w:t>.</w:t>
      </w:r>
      <w:r w:rsidR="00BE1A58">
        <w:rPr>
          <w:rFonts w:ascii="Times New Roman" w:hAnsi="Times New Roman" w:cs="Times New Roman"/>
        </w:rPr>
        <w:t xml:space="preserve"> </w:t>
      </w:r>
      <w:r w:rsidR="00D44C54" w:rsidRPr="6E9A247A">
        <w:rPr>
          <w:rFonts w:ascii="Times New Roman" w:hAnsi="Times New Roman" w:cs="Times New Roman"/>
        </w:rPr>
        <w:t>For the purpose of submitting the Tender the PDF</w:t>
      </w:r>
      <w:r w:rsidR="007B6048">
        <w:rPr>
          <w:rFonts w:ascii="Times New Roman" w:hAnsi="Times New Roman" w:cs="Times New Roman"/>
        </w:rPr>
        <w:t>/excel</w:t>
      </w:r>
      <w:r w:rsidR="00D44C54" w:rsidRPr="6E9A247A">
        <w:rPr>
          <w:rFonts w:ascii="Times New Roman" w:hAnsi="Times New Roman" w:cs="Times New Roman"/>
        </w:rPr>
        <w:t xml:space="preserve"> version is acceptable. </w:t>
      </w:r>
    </w:p>
    <w:sectPr w:rsidR="009807C9" w:rsidRPr="00FE0F50" w:rsidSect="00FD19DF">
      <w:headerReference w:type="even" r:id="rId10"/>
      <w:footerReference w:type="even" r:id="rId11"/>
      <w:footerReference w:type="default" r:id="rId12"/>
      <w:pgSz w:w="11900" w:h="16840"/>
      <w:pgMar w:top="1956"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5C881" w14:textId="77777777" w:rsidR="0044770E" w:rsidRDefault="0044770E" w:rsidP="006C1699">
      <w:r>
        <w:separator/>
      </w:r>
    </w:p>
    <w:p w14:paraId="11E9F50D" w14:textId="77777777" w:rsidR="0044770E" w:rsidRDefault="0044770E"/>
  </w:endnote>
  <w:endnote w:type="continuationSeparator" w:id="0">
    <w:p w14:paraId="33A289EC" w14:textId="77777777" w:rsidR="0044770E" w:rsidRDefault="0044770E" w:rsidP="006C1699">
      <w:r>
        <w:continuationSeparator/>
      </w:r>
    </w:p>
    <w:p w14:paraId="7D91EF3C" w14:textId="77777777" w:rsidR="0044770E" w:rsidRDefault="0044770E"/>
  </w:endnote>
  <w:endnote w:type="continuationNotice" w:id="1">
    <w:p w14:paraId="58A3C2C1" w14:textId="77777777" w:rsidR="0044770E" w:rsidRDefault="00447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2D8A" w14:textId="77777777" w:rsidR="005F2FF9" w:rsidRDefault="005F2FF9">
    <w:pPr>
      <w:pStyle w:val="Footer"/>
    </w:pPr>
  </w:p>
  <w:p w14:paraId="4F68824E" w14:textId="77777777" w:rsidR="00A95C11" w:rsidRDefault="00A95C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27B0" w14:textId="77777777" w:rsidR="005F2FF9" w:rsidRPr="00602CA6" w:rsidRDefault="005F2FF9" w:rsidP="00602CA6">
    <w:pPr>
      <w:jc w:val="right"/>
      <w:rPr>
        <w:rFonts w:ascii="Times New Roman" w:hAnsi="Times New Roman" w:cs="Times New Roman"/>
        <w:noProof/>
      </w:rPr>
    </w:pPr>
    <w:r w:rsidRPr="00602CA6">
      <w:rPr>
        <w:rFonts w:ascii="Times New Roman" w:hAnsi="Times New Roman" w:cs="Times New Roman"/>
      </w:rPr>
      <w:fldChar w:fldCharType="begin"/>
    </w:r>
    <w:r w:rsidRPr="00602CA6">
      <w:rPr>
        <w:rFonts w:ascii="Times New Roman" w:hAnsi="Times New Roman" w:cs="Times New Roman"/>
      </w:rPr>
      <w:instrText xml:space="preserve"> PAGE   \* MERGEFORMAT </w:instrText>
    </w:r>
    <w:r w:rsidRPr="00602CA6">
      <w:rPr>
        <w:rFonts w:ascii="Times New Roman" w:hAnsi="Times New Roman" w:cs="Times New Roman"/>
      </w:rPr>
      <w:fldChar w:fldCharType="separate"/>
    </w:r>
    <w:r w:rsidRPr="00602CA6">
      <w:rPr>
        <w:rFonts w:ascii="Times New Roman" w:hAnsi="Times New Roman" w:cs="Times New Roman"/>
        <w:noProof/>
      </w:rPr>
      <w:t>2</w:t>
    </w:r>
    <w:r w:rsidRPr="00602CA6">
      <w:rPr>
        <w:rFonts w:ascii="Times New Roman" w:hAnsi="Times New Roman" w:cs="Times New Roman"/>
        <w:noProof/>
      </w:rPr>
      <w:fldChar w:fldCharType="end"/>
    </w:r>
  </w:p>
  <w:p w14:paraId="4274C993" w14:textId="77777777" w:rsidR="005F2FF9" w:rsidRDefault="005F2FF9">
    <w:pPr>
      <w:pStyle w:val="Footer"/>
    </w:pPr>
  </w:p>
  <w:p w14:paraId="131493E7" w14:textId="77777777" w:rsidR="00A95C11" w:rsidRDefault="00A95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B875" w14:textId="77777777" w:rsidR="0044770E" w:rsidRDefault="0044770E" w:rsidP="006C1699">
      <w:r>
        <w:separator/>
      </w:r>
    </w:p>
    <w:p w14:paraId="3B5422F7" w14:textId="77777777" w:rsidR="0044770E" w:rsidRDefault="0044770E"/>
  </w:footnote>
  <w:footnote w:type="continuationSeparator" w:id="0">
    <w:p w14:paraId="73E04614" w14:textId="77777777" w:rsidR="0044770E" w:rsidRDefault="0044770E" w:rsidP="006C1699">
      <w:r>
        <w:continuationSeparator/>
      </w:r>
    </w:p>
    <w:p w14:paraId="7DED600D" w14:textId="77777777" w:rsidR="0044770E" w:rsidRDefault="0044770E"/>
  </w:footnote>
  <w:footnote w:type="continuationNotice" w:id="1">
    <w:p w14:paraId="685D0DBD" w14:textId="77777777" w:rsidR="0044770E" w:rsidRDefault="0044770E"/>
  </w:footnote>
  <w:footnote w:id="2">
    <w:p w14:paraId="1EDCBF7C" w14:textId="77777777" w:rsidR="005328AD" w:rsidRPr="00732182" w:rsidRDefault="005328AD" w:rsidP="005328AD">
      <w:pPr>
        <w:pStyle w:val="FootnoteText"/>
        <w:jc w:val="both"/>
        <w:rPr>
          <w:rFonts w:ascii="Myriad Pro" w:hAnsi="Myriad Pro"/>
        </w:rPr>
      </w:pPr>
      <w:r>
        <w:rPr>
          <w:rStyle w:val="FootnoteReference"/>
        </w:rPr>
        <w:footnoteRef/>
      </w:r>
      <w:r w:rsidRPr="006578CF">
        <w:rPr>
          <w:rFonts w:ascii="Myriad Pro" w:hAnsi="Myriad Pro"/>
        </w:rPr>
        <w:t xml:space="preserve"> </w:t>
      </w:r>
      <w:r>
        <w:rPr>
          <w:rFonts w:ascii="Myriad Pro" w:hAnsi="Myriad Pro"/>
        </w:rPr>
        <w:t>V</w:t>
      </w:r>
      <w:r w:rsidRPr="00732182">
        <w:rPr>
          <w:rFonts w:ascii="Myriad Pro" w:hAnsi="Myriad Pro"/>
        </w:rPr>
        <w:t>erification investigations, as a means of confirming the geotechnical investigations performed during VE phase, can be completed at the pace suitable for the Consultant but not later than the submission of respective “Detailed Technical Design approval before upload in BIS” deliverables</w:t>
      </w:r>
      <w:r>
        <w:rPr>
          <w:rFonts w:ascii="Myriad Pro" w:hAnsi="Myriad Pro"/>
        </w:rPr>
        <w:t>.</w:t>
      </w:r>
    </w:p>
  </w:footnote>
  <w:footnote w:id="3">
    <w:p w14:paraId="15AAC0F4" w14:textId="77777777" w:rsidR="005328AD" w:rsidRPr="00732182" w:rsidRDefault="005328AD" w:rsidP="005328AD">
      <w:pPr>
        <w:pStyle w:val="FootnoteText"/>
        <w:jc w:val="both"/>
        <w:rPr>
          <w:lang w:val="lv-LV"/>
        </w:rPr>
      </w:pPr>
      <w:r>
        <w:rPr>
          <w:rStyle w:val="FootnoteReference"/>
        </w:rPr>
        <w:footnoteRef/>
      </w:r>
      <w:r>
        <w:t xml:space="preserve"> </w:t>
      </w:r>
      <w:r w:rsidRPr="26252118">
        <w:rPr>
          <w:rFonts w:ascii="Myriad Pro" w:hAnsi="Myriad Pro"/>
        </w:rPr>
        <w:t xml:space="preserve">The deadline dates </w:t>
      </w:r>
      <w:r>
        <w:rPr>
          <w:rFonts w:ascii="Myriad Pro" w:hAnsi="Myriad Pro"/>
        </w:rPr>
        <w:t xml:space="preserve">for the </w:t>
      </w:r>
      <w:r w:rsidRPr="26252118">
        <w:rPr>
          <w:rFonts w:ascii="Myriad Pro" w:hAnsi="Myriad Pro"/>
        </w:rPr>
        <w:t>Remaining phase investigations are tied to the MD deliveries</w:t>
      </w:r>
      <w:r>
        <w:rPr>
          <w:rFonts w:ascii="Myriad Pro" w:hAnsi="Myriad Pro"/>
        </w:rPr>
        <w:t>.</w:t>
      </w:r>
      <w:r w:rsidRPr="006578CF">
        <w:rPr>
          <w:rFonts w:ascii="Myriad Pro" w:hAnsi="Myriad P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A55A" w14:textId="77777777" w:rsidR="005F2FF9" w:rsidRDefault="005F2FF9">
    <w:pPr>
      <w:pStyle w:val="Header"/>
    </w:pPr>
  </w:p>
  <w:p w14:paraId="36F1B1D6" w14:textId="77777777" w:rsidR="00A95C11" w:rsidRDefault="00A95C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411"/>
    <w:multiLevelType w:val="hybridMultilevel"/>
    <w:tmpl w:val="0CA2ECE6"/>
    <w:lvl w:ilvl="0" w:tplc="ECA06780">
      <w:start w:val="3"/>
      <w:numFmt w:val="bullet"/>
      <w:lvlText w:val=""/>
      <w:lvlJc w:val="left"/>
      <w:pPr>
        <w:ind w:left="1080" w:hanging="360"/>
      </w:pPr>
      <w:rPr>
        <w:rFonts w:ascii="Symbol" w:eastAsiaTheme="minorEastAsia" w:hAnsi="Symbol"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 w15:restartNumberingAfterBreak="0">
    <w:nsid w:val="0E6C68AF"/>
    <w:multiLevelType w:val="hybridMultilevel"/>
    <w:tmpl w:val="9D24E8C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F2305"/>
    <w:multiLevelType w:val="hybridMultilevel"/>
    <w:tmpl w:val="D1E0167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263F6B31"/>
    <w:multiLevelType w:val="hybridMultilevel"/>
    <w:tmpl w:val="A8869E92"/>
    <w:lvl w:ilvl="0" w:tplc="9AFA15AC">
      <w:start w:val="3"/>
      <w:numFmt w:val="bullet"/>
      <w:lvlText w:val="-"/>
      <w:lvlJc w:val="left"/>
      <w:pPr>
        <w:ind w:left="1080" w:hanging="360"/>
      </w:pPr>
      <w:rPr>
        <w:rFonts w:ascii="Myriad Pro" w:eastAsiaTheme="minorEastAsia" w:hAnsi="Myriad Pro"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4B025C33"/>
    <w:multiLevelType w:val="hybridMultilevel"/>
    <w:tmpl w:val="BC267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B25C44"/>
    <w:multiLevelType w:val="multilevel"/>
    <w:tmpl w:val="BF90AA20"/>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F050225"/>
    <w:multiLevelType w:val="multilevel"/>
    <w:tmpl w:val="3B5EDD22"/>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D67E8A"/>
    <w:multiLevelType w:val="multilevel"/>
    <w:tmpl w:val="5E80C0BE"/>
    <w:lvl w:ilvl="0">
      <w:start w:val="1"/>
      <w:numFmt w:val="decimal"/>
      <w:lvlText w:val="%1."/>
      <w:lvlJc w:val="left"/>
      <w:pPr>
        <w:ind w:left="720" w:hanging="360"/>
      </w:pPr>
      <w:rPr>
        <w:rFonts w:hint="default"/>
      </w:rPr>
    </w:lvl>
    <w:lvl w:ilvl="1">
      <w:start w:val="1"/>
      <w:numFmt w:val="decimal"/>
      <w:lvlText w:val="%1.%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76ED22A3"/>
    <w:multiLevelType w:val="hybridMultilevel"/>
    <w:tmpl w:val="276CD7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453253172">
    <w:abstractNumId w:val="5"/>
  </w:num>
  <w:num w:numId="2" w16cid:durableId="65541198">
    <w:abstractNumId w:val="4"/>
  </w:num>
  <w:num w:numId="3" w16cid:durableId="596518499">
    <w:abstractNumId w:val="1"/>
  </w:num>
  <w:num w:numId="4" w16cid:durableId="1408767976">
    <w:abstractNumId w:val="5"/>
    <w:lvlOverride w:ilvl="0">
      <w:lvl w:ilvl="0">
        <w:start w:val="1"/>
        <w:numFmt w:val="decimal"/>
        <w:lvlRestart w:val="0"/>
        <w:lvlText w:val="%1."/>
        <w:lvlJc w:val="left"/>
        <w:pPr>
          <w:tabs>
            <w:tab w:val="num" w:pos="964"/>
          </w:tabs>
          <w:ind w:left="964" w:hanging="964"/>
        </w:pPr>
        <w:rPr>
          <w:rFonts w:hint="default"/>
        </w:rPr>
      </w:lvl>
    </w:lvlOverride>
    <w:lvlOverride w:ilvl="1">
      <w:lvl w:ilvl="1">
        <w:start w:val="1"/>
        <w:numFmt w:val="decimal"/>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lvlText w:val="(%4)"/>
        <w:lvlJc w:val="left"/>
        <w:pPr>
          <w:tabs>
            <w:tab w:val="num" w:pos="1928"/>
          </w:tabs>
          <w:ind w:left="1928" w:hanging="851"/>
        </w:pPr>
        <w:rPr>
          <w:rFonts w:hint="default"/>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5" w16cid:durableId="846364220">
    <w:abstractNumId w:val="5"/>
    <w:lvlOverride w:ilvl="0">
      <w:lvl w:ilvl="0">
        <w:start w:val="1"/>
        <w:numFmt w:val="decimal"/>
        <w:lvlText w:val="%1."/>
        <w:lvlJc w:val="left"/>
        <w:pPr>
          <w:tabs>
            <w:tab w:val="num" w:pos="964"/>
          </w:tabs>
          <w:ind w:left="964" w:hanging="964"/>
        </w:pPr>
      </w:lvl>
    </w:lvlOverride>
    <w:lvlOverride w:ilvl="1">
      <w:lvl w:ilvl="1">
        <w:start w:val="1"/>
        <w:numFmt w:val="decimal"/>
        <w:lvlText w:val="%1.%2."/>
        <w:lvlJc w:val="left"/>
        <w:pPr>
          <w:tabs>
            <w:tab w:val="num" w:pos="964"/>
          </w:tabs>
          <w:ind w:left="964" w:hanging="96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964"/>
          </w:tabs>
          <w:ind w:left="964" w:hanging="964"/>
        </w:pPr>
        <w:rPr>
          <w:b w:val="0"/>
          <w:bCs w:val="0"/>
          <w:i w:val="0"/>
          <w:iCs w:val="0"/>
          <w:caps w:val="0"/>
          <w:smallCaps w:val="0"/>
          <w:strike w:val="0"/>
          <w:dstrike w:val="0"/>
          <w:outline w:val="0"/>
          <w:shadow w:val="0"/>
          <w:emboss w:val="0"/>
          <w:imprint w:val="0"/>
          <w:noProof w:val="0"/>
          <w:vanish w:val="0"/>
          <w:webHidden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lvlText w:val="(%4)"/>
        <w:lvlJc w:val="left"/>
        <w:pPr>
          <w:tabs>
            <w:tab w:val="num" w:pos="1928"/>
          </w:tabs>
          <w:ind w:left="1928" w:hanging="851"/>
        </w:pPr>
      </w:lvl>
    </w:lvlOverride>
    <w:lvlOverride w:ilvl="4">
      <w:lvl w:ilvl="4">
        <w:start w:val="1"/>
        <w:numFmt w:val="lowerRoman"/>
        <w:lvlText w:val="(%5)"/>
        <w:lvlJc w:val="left"/>
        <w:pPr>
          <w:tabs>
            <w:tab w:val="num" w:pos="2835"/>
          </w:tabs>
          <w:ind w:left="2835" w:hanging="851"/>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6" w16cid:durableId="1789397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968573">
    <w:abstractNumId w:val="7"/>
  </w:num>
  <w:num w:numId="8" w16cid:durableId="720445588">
    <w:abstractNumId w:val="3"/>
  </w:num>
  <w:num w:numId="9" w16cid:durableId="1486317252">
    <w:abstractNumId w:val="2"/>
  </w:num>
  <w:num w:numId="10" w16cid:durableId="109712131">
    <w:abstractNumId w:val="8"/>
  </w:num>
  <w:num w:numId="11" w16cid:durableId="346639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99"/>
    <w:rsid w:val="00001BDF"/>
    <w:rsid w:val="000133CD"/>
    <w:rsid w:val="0001425B"/>
    <w:rsid w:val="000150DA"/>
    <w:rsid w:val="00016E85"/>
    <w:rsid w:val="0002398E"/>
    <w:rsid w:val="00025CF4"/>
    <w:rsid w:val="0003122F"/>
    <w:rsid w:val="00041A6B"/>
    <w:rsid w:val="00043F0A"/>
    <w:rsid w:val="00044D7A"/>
    <w:rsid w:val="00045DD0"/>
    <w:rsid w:val="00046421"/>
    <w:rsid w:val="00046A54"/>
    <w:rsid w:val="0005075C"/>
    <w:rsid w:val="000761C7"/>
    <w:rsid w:val="00076965"/>
    <w:rsid w:val="00081321"/>
    <w:rsid w:val="00083B23"/>
    <w:rsid w:val="00083FFA"/>
    <w:rsid w:val="000868F1"/>
    <w:rsid w:val="0008698A"/>
    <w:rsid w:val="000907A7"/>
    <w:rsid w:val="00092E31"/>
    <w:rsid w:val="00095CE9"/>
    <w:rsid w:val="000A19E9"/>
    <w:rsid w:val="000C2DB1"/>
    <w:rsid w:val="000C4EBB"/>
    <w:rsid w:val="000D1D8B"/>
    <w:rsid w:val="000E1A46"/>
    <w:rsid w:val="000E4ADC"/>
    <w:rsid w:val="000E7087"/>
    <w:rsid w:val="000F13D0"/>
    <w:rsid w:val="000F2B28"/>
    <w:rsid w:val="000F3DAA"/>
    <w:rsid w:val="00100701"/>
    <w:rsid w:val="00104D79"/>
    <w:rsid w:val="00110E60"/>
    <w:rsid w:val="00116BBF"/>
    <w:rsid w:val="001218D9"/>
    <w:rsid w:val="00126C59"/>
    <w:rsid w:val="0013305C"/>
    <w:rsid w:val="001414FB"/>
    <w:rsid w:val="00141C07"/>
    <w:rsid w:val="0014357C"/>
    <w:rsid w:val="001517EB"/>
    <w:rsid w:val="0015347C"/>
    <w:rsid w:val="001548CA"/>
    <w:rsid w:val="00154F01"/>
    <w:rsid w:val="00157B25"/>
    <w:rsid w:val="00161A47"/>
    <w:rsid w:val="00171AA9"/>
    <w:rsid w:val="00180387"/>
    <w:rsid w:val="001858B4"/>
    <w:rsid w:val="00187D43"/>
    <w:rsid w:val="001943C5"/>
    <w:rsid w:val="00194778"/>
    <w:rsid w:val="00194DE3"/>
    <w:rsid w:val="00196DEF"/>
    <w:rsid w:val="001A089A"/>
    <w:rsid w:val="001A0D50"/>
    <w:rsid w:val="001B0067"/>
    <w:rsid w:val="001B60FC"/>
    <w:rsid w:val="001B63D1"/>
    <w:rsid w:val="001C735B"/>
    <w:rsid w:val="001D3E3B"/>
    <w:rsid w:val="001E2670"/>
    <w:rsid w:val="001E39AD"/>
    <w:rsid w:val="001E48D8"/>
    <w:rsid w:val="001E4C4C"/>
    <w:rsid w:val="001F40EF"/>
    <w:rsid w:val="00204CA5"/>
    <w:rsid w:val="002113AE"/>
    <w:rsid w:val="0021503C"/>
    <w:rsid w:val="00216813"/>
    <w:rsid w:val="00220807"/>
    <w:rsid w:val="00221A85"/>
    <w:rsid w:val="0023199F"/>
    <w:rsid w:val="00233506"/>
    <w:rsid w:val="00235143"/>
    <w:rsid w:val="002428C6"/>
    <w:rsid w:val="002523C4"/>
    <w:rsid w:val="00255EE9"/>
    <w:rsid w:val="0025795C"/>
    <w:rsid w:val="00260C25"/>
    <w:rsid w:val="0026133E"/>
    <w:rsid w:val="00262FB1"/>
    <w:rsid w:val="00265EAF"/>
    <w:rsid w:val="00266AE7"/>
    <w:rsid w:val="002747D2"/>
    <w:rsid w:val="00275762"/>
    <w:rsid w:val="0027617C"/>
    <w:rsid w:val="00276B5E"/>
    <w:rsid w:val="002908A8"/>
    <w:rsid w:val="002A3A86"/>
    <w:rsid w:val="002B6026"/>
    <w:rsid w:val="002C0880"/>
    <w:rsid w:val="002C66A4"/>
    <w:rsid w:val="002C6BB0"/>
    <w:rsid w:val="002D1D47"/>
    <w:rsid w:val="002E62E2"/>
    <w:rsid w:val="002E7DF2"/>
    <w:rsid w:val="002F183D"/>
    <w:rsid w:val="002F742B"/>
    <w:rsid w:val="00301DF8"/>
    <w:rsid w:val="00302127"/>
    <w:rsid w:val="003058B9"/>
    <w:rsid w:val="00307EAA"/>
    <w:rsid w:val="00313ED5"/>
    <w:rsid w:val="00316E84"/>
    <w:rsid w:val="00320CF3"/>
    <w:rsid w:val="00321216"/>
    <w:rsid w:val="00321604"/>
    <w:rsid w:val="00323B67"/>
    <w:rsid w:val="00324AA9"/>
    <w:rsid w:val="003315EE"/>
    <w:rsid w:val="0033444A"/>
    <w:rsid w:val="00336D80"/>
    <w:rsid w:val="0033747A"/>
    <w:rsid w:val="00337530"/>
    <w:rsid w:val="00337CF7"/>
    <w:rsid w:val="00341757"/>
    <w:rsid w:val="00342FBB"/>
    <w:rsid w:val="003479C4"/>
    <w:rsid w:val="00350B5B"/>
    <w:rsid w:val="003533CD"/>
    <w:rsid w:val="00353485"/>
    <w:rsid w:val="00354322"/>
    <w:rsid w:val="003618D7"/>
    <w:rsid w:val="003623DF"/>
    <w:rsid w:val="0036289E"/>
    <w:rsid w:val="00362B25"/>
    <w:rsid w:val="00365B89"/>
    <w:rsid w:val="00370823"/>
    <w:rsid w:val="00380AA1"/>
    <w:rsid w:val="00380D76"/>
    <w:rsid w:val="003828EF"/>
    <w:rsid w:val="00383533"/>
    <w:rsid w:val="0038688E"/>
    <w:rsid w:val="003909AE"/>
    <w:rsid w:val="003937F5"/>
    <w:rsid w:val="003A09FE"/>
    <w:rsid w:val="003A0DD7"/>
    <w:rsid w:val="003A689E"/>
    <w:rsid w:val="003B2F18"/>
    <w:rsid w:val="003B3EBF"/>
    <w:rsid w:val="003C0284"/>
    <w:rsid w:val="003C724B"/>
    <w:rsid w:val="003C7D37"/>
    <w:rsid w:val="003D38B2"/>
    <w:rsid w:val="003D44A6"/>
    <w:rsid w:val="003E0964"/>
    <w:rsid w:val="003E0C33"/>
    <w:rsid w:val="003E21A1"/>
    <w:rsid w:val="003E3A72"/>
    <w:rsid w:val="003E509A"/>
    <w:rsid w:val="003F24C6"/>
    <w:rsid w:val="003F4B0C"/>
    <w:rsid w:val="004050FB"/>
    <w:rsid w:val="0041262C"/>
    <w:rsid w:val="00414AA6"/>
    <w:rsid w:val="00417A27"/>
    <w:rsid w:val="00420899"/>
    <w:rsid w:val="00423F17"/>
    <w:rsid w:val="00434D4F"/>
    <w:rsid w:val="00442302"/>
    <w:rsid w:val="0044770E"/>
    <w:rsid w:val="00453D9B"/>
    <w:rsid w:val="00456E7C"/>
    <w:rsid w:val="0046567D"/>
    <w:rsid w:val="00466F65"/>
    <w:rsid w:val="00472BC5"/>
    <w:rsid w:val="00475190"/>
    <w:rsid w:val="00477D17"/>
    <w:rsid w:val="004959AD"/>
    <w:rsid w:val="004A1839"/>
    <w:rsid w:val="004A522A"/>
    <w:rsid w:val="004A6689"/>
    <w:rsid w:val="004B33FA"/>
    <w:rsid w:val="004B482C"/>
    <w:rsid w:val="004B6670"/>
    <w:rsid w:val="004B6FD8"/>
    <w:rsid w:val="004C41EB"/>
    <w:rsid w:val="004C6E54"/>
    <w:rsid w:val="004D45D4"/>
    <w:rsid w:val="004E54BA"/>
    <w:rsid w:val="004E6A7B"/>
    <w:rsid w:val="004F15EB"/>
    <w:rsid w:val="004F30E7"/>
    <w:rsid w:val="005000D5"/>
    <w:rsid w:val="0050109E"/>
    <w:rsid w:val="0050282A"/>
    <w:rsid w:val="00504522"/>
    <w:rsid w:val="0051347F"/>
    <w:rsid w:val="00513F89"/>
    <w:rsid w:val="00515D02"/>
    <w:rsid w:val="00515F71"/>
    <w:rsid w:val="005219C9"/>
    <w:rsid w:val="00523744"/>
    <w:rsid w:val="00524D94"/>
    <w:rsid w:val="00526583"/>
    <w:rsid w:val="005305CA"/>
    <w:rsid w:val="005328AD"/>
    <w:rsid w:val="005377AA"/>
    <w:rsid w:val="0055124E"/>
    <w:rsid w:val="0056113F"/>
    <w:rsid w:val="00581858"/>
    <w:rsid w:val="00581911"/>
    <w:rsid w:val="00584DF9"/>
    <w:rsid w:val="0058621B"/>
    <w:rsid w:val="00594211"/>
    <w:rsid w:val="005953FC"/>
    <w:rsid w:val="0059C7A8"/>
    <w:rsid w:val="005A4C1A"/>
    <w:rsid w:val="005B0A1A"/>
    <w:rsid w:val="005B259E"/>
    <w:rsid w:val="005B3FF5"/>
    <w:rsid w:val="005C4FC9"/>
    <w:rsid w:val="005D0292"/>
    <w:rsid w:val="005D0F34"/>
    <w:rsid w:val="005D5CB6"/>
    <w:rsid w:val="005E2ED9"/>
    <w:rsid w:val="005F050C"/>
    <w:rsid w:val="005F0A34"/>
    <w:rsid w:val="005F2FF9"/>
    <w:rsid w:val="005F438E"/>
    <w:rsid w:val="005F6F95"/>
    <w:rsid w:val="005F7007"/>
    <w:rsid w:val="00602CA6"/>
    <w:rsid w:val="00615714"/>
    <w:rsid w:val="0061638C"/>
    <w:rsid w:val="00617655"/>
    <w:rsid w:val="00620801"/>
    <w:rsid w:val="00624087"/>
    <w:rsid w:val="0062733B"/>
    <w:rsid w:val="0063669D"/>
    <w:rsid w:val="006406E7"/>
    <w:rsid w:val="00640AFE"/>
    <w:rsid w:val="00641069"/>
    <w:rsid w:val="00642CD1"/>
    <w:rsid w:val="006464DE"/>
    <w:rsid w:val="0065088C"/>
    <w:rsid w:val="00654AAC"/>
    <w:rsid w:val="00655551"/>
    <w:rsid w:val="006567AF"/>
    <w:rsid w:val="00671F49"/>
    <w:rsid w:val="006743C5"/>
    <w:rsid w:val="00674500"/>
    <w:rsid w:val="00674E1E"/>
    <w:rsid w:val="00680F2F"/>
    <w:rsid w:val="006811E1"/>
    <w:rsid w:val="00681A31"/>
    <w:rsid w:val="00682F38"/>
    <w:rsid w:val="00687B3E"/>
    <w:rsid w:val="00691BC0"/>
    <w:rsid w:val="00692167"/>
    <w:rsid w:val="006B5E2E"/>
    <w:rsid w:val="006B6289"/>
    <w:rsid w:val="006C1699"/>
    <w:rsid w:val="006C354D"/>
    <w:rsid w:val="006C5F09"/>
    <w:rsid w:val="006D3193"/>
    <w:rsid w:val="006D3D2C"/>
    <w:rsid w:val="006E2EEC"/>
    <w:rsid w:val="006E74DF"/>
    <w:rsid w:val="006F4352"/>
    <w:rsid w:val="006F55CD"/>
    <w:rsid w:val="006F5C35"/>
    <w:rsid w:val="007039F3"/>
    <w:rsid w:val="007076C1"/>
    <w:rsid w:val="00712707"/>
    <w:rsid w:val="00727A24"/>
    <w:rsid w:val="00734A84"/>
    <w:rsid w:val="00742543"/>
    <w:rsid w:val="00743B78"/>
    <w:rsid w:val="007461E9"/>
    <w:rsid w:val="007534BF"/>
    <w:rsid w:val="00754A40"/>
    <w:rsid w:val="00760BCF"/>
    <w:rsid w:val="007616F7"/>
    <w:rsid w:val="007665F9"/>
    <w:rsid w:val="007841D3"/>
    <w:rsid w:val="0079051A"/>
    <w:rsid w:val="00791A33"/>
    <w:rsid w:val="007A3CAD"/>
    <w:rsid w:val="007B2567"/>
    <w:rsid w:val="007B6048"/>
    <w:rsid w:val="007B66C2"/>
    <w:rsid w:val="007B6E71"/>
    <w:rsid w:val="007C03FC"/>
    <w:rsid w:val="007C51DD"/>
    <w:rsid w:val="007D2E00"/>
    <w:rsid w:val="007F0460"/>
    <w:rsid w:val="007F440C"/>
    <w:rsid w:val="007F50D1"/>
    <w:rsid w:val="007F549B"/>
    <w:rsid w:val="00802051"/>
    <w:rsid w:val="00812A20"/>
    <w:rsid w:val="00815C15"/>
    <w:rsid w:val="00815C4F"/>
    <w:rsid w:val="00824E43"/>
    <w:rsid w:val="00826403"/>
    <w:rsid w:val="00832436"/>
    <w:rsid w:val="00835D34"/>
    <w:rsid w:val="00836220"/>
    <w:rsid w:val="00836437"/>
    <w:rsid w:val="008400C9"/>
    <w:rsid w:val="00841993"/>
    <w:rsid w:val="00841A64"/>
    <w:rsid w:val="00842543"/>
    <w:rsid w:val="00843150"/>
    <w:rsid w:val="0084558B"/>
    <w:rsid w:val="008546D1"/>
    <w:rsid w:val="00867BF5"/>
    <w:rsid w:val="00872A6E"/>
    <w:rsid w:val="00873F19"/>
    <w:rsid w:val="00881B52"/>
    <w:rsid w:val="00883027"/>
    <w:rsid w:val="00883042"/>
    <w:rsid w:val="00890A54"/>
    <w:rsid w:val="008939C0"/>
    <w:rsid w:val="008A1F0D"/>
    <w:rsid w:val="008A57DF"/>
    <w:rsid w:val="008B6A0B"/>
    <w:rsid w:val="008B71A0"/>
    <w:rsid w:val="008B7ECF"/>
    <w:rsid w:val="008D01A4"/>
    <w:rsid w:val="008D2950"/>
    <w:rsid w:val="008D461E"/>
    <w:rsid w:val="008D70FC"/>
    <w:rsid w:val="008E037F"/>
    <w:rsid w:val="008F1060"/>
    <w:rsid w:val="008F55E1"/>
    <w:rsid w:val="00901ABB"/>
    <w:rsid w:val="009075A4"/>
    <w:rsid w:val="00910722"/>
    <w:rsid w:val="00913595"/>
    <w:rsid w:val="00921E88"/>
    <w:rsid w:val="00926403"/>
    <w:rsid w:val="009305C9"/>
    <w:rsid w:val="00936C0E"/>
    <w:rsid w:val="00944A2F"/>
    <w:rsid w:val="00951BB2"/>
    <w:rsid w:val="009528FB"/>
    <w:rsid w:val="0095586B"/>
    <w:rsid w:val="00955F59"/>
    <w:rsid w:val="009649D9"/>
    <w:rsid w:val="00974BCD"/>
    <w:rsid w:val="00975CB7"/>
    <w:rsid w:val="00975FB9"/>
    <w:rsid w:val="009807C9"/>
    <w:rsid w:val="009810AA"/>
    <w:rsid w:val="00990AB8"/>
    <w:rsid w:val="009934C9"/>
    <w:rsid w:val="00994892"/>
    <w:rsid w:val="00994B34"/>
    <w:rsid w:val="00996334"/>
    <w:rsid w:val="009A1BB1"/>
    <w:rsid w:val="009B0182"/>
    <w:rsid w:val="009B085D"/>
    <w:rsid w:val="009B48FC"/>
    <w:rsid w:val="009C02CD"/>
    <w:rsid w:val="009C0B0A"/>
    <w:rsid w:val="009D5330"/>
    <w:rsid w:val="009E4F32"/>
    <w:rsid w:val="009E6146"/>
    <w:rsid w:val="009F6178"/>
    <w:rsid w:val="00A038E7"/>
    <w:rsid w:val="00A055A8"/>
    <w:rsid w:val="00A121A2"/>
    <w:rsid w:val="00A12D97"/>
    <w:rsid w:val="00A1553F"/>
    <w:rsid w:val="00A24A80"/>
    <w:rsid w:val="00A25756"/>
    <w:rsid w:val="00A26A21"/>
    <w:rsid w:val="00A35279"/>
    <w:rsid w:val="00A423E7"/>
    <w:rsid w:val="00A4301E"/>
    <w:rsid w:val="00A475D2"/>
    <w:rsid w:val="00A51BEA"/>
    <w:rsid w:val="00A54F35"/>
    <w:rsid w:val="00A57045"/>
    <w:rsid w:val="00A83F7F"/>
    <w:rsid w:val="00A93B8F"/>
    <w:rsid w:val="00A93E4A"/>
    <w:rsid w:val="00A95C11"/>
    <w:rsid w:val="00AA15DB"/>
    <w:rsid w:val="00AA5BBE"/>
    <w:rsid w:val="00AA675B"/>
    <w:rsid w:val="00AA78CC"/>
    <w:rsid w:val="00AB05AB"/>
    <w:rsid w:val="00AB0ABB"/>
    <w:rsid w:val="00AC174E"/>
    <w:rsid w:val="00AC2548"/>
    <w:rsid w:val="00AC27E2"/>
    <w:rsid w:val="00AC3B75"/>
    <w:rsid w:val="00AC7B57"/>
    <w:rsid w:val="00AC7D42"/>
    <w:rsid w:val="00AE06A0"/>
    <w:rsid w:val="00AE268D"/>
    <w:rsid w:val="00AE3E8B"/>
    <w:rsid w:val="00AF7D83"/>
    <w:rsid w:val="00B038D2"/>
    <w:rsid w:val="00B16A13"/>
    <w:rsid w:val="00B176F9"/>
    <w:rsid w:val="00B17E51"/>
    <w:rsid w:val="00B22CF5"/>
    <w:rsid w:val="00B25ED3"/>
    <w:rsid w:val="00B27921"/>
    <w:rsid w:val="00B33F3F"/>
    <w:rsid w:val="00B3772E"/>
    <w:rsid w:val="00B3793C"/>
    <w:rsid w:val="00B42E15"/>
    <w:rsid w:val="00B528D1"/>
    <w:rsid w:val="00B54093"/>
    <w:rsid w:val="00B57D1D"/>
    <w:rsid w:val="00B604F5"/>
    <w:rsid w:val="00B65108"/>
    <w:rsid w:val="00B75A7C"/>
    <w:rsid w:val="00B81395"/>
    <w:rsid w:val="00B8499F"/>
    <w:rsid w:val="00B84DA4"/>
    <w:rsid w:val="00B869A2"/>
    <w:rsid w:val="00B924E2"/>
    <w:rsid w:val="00BA4C6C"/>
    <w:rsid w:val="00BB1483"/>
    <w:rsid w:val="00BB42AE"/>
    <w:rsid w:val="00BB6ABF"/>
    <w:rsid w:val="00BB7853"/>
    <w:rsid w:val="00BC778B"/>
    <w:rsid w:val="00BD09AF"/>
    <w:rsid w:val="00BD2EC6"/>
    <w:rsid w:val="00BD3568"/>
    <w:rsid w:val="00BD4DA7"/>
    <w:rsid w:val="00BD504E"/>
    <w:rsid w:val="00BE0834"/>
    <w:rsid w:val="00BE1A58"/>
    <w:rsid w:val="00BE3371"/>
    <w:rsid w:val="00BE434E"/>
    <w:rsid w:val="00C0228A"/>
    <w:rsid w:val="00C120EF"/>
    <w:rsid w:val="00C12D9E"/>
    <w:rsid w:val="00C1478D"/>
    <w:rsid w:val="00C17150"/>
    <w:rsid w:val="00C3095F"/>
    <w:rsid w:val="00C30D50"/>
    <w:rsid w:val="00C33246"/>
    <w:rsid w:val="00C50E21"/>
    <w:rsid w:val="00C52772"/>
    <w:rsid w:val="00C60FF0"/>
    <w:rsid w:val="00C62FC3"/>
    <w:rsid w:val="00C66369"/>
    <w:rsid w:val="00C733E5"/>
    <w:rsid w:val="00C913A8"/>
    <w:rsid w:val="00C9235B"/>
    <w:rsid w:val="00C9447D"/>
    <w:rsid w:val="00C94FE4"/>
    <w:rsid w:val="00C97721"/>
    <w:rsid w:val="00CA0012"/>
    <w:rsid w:val="00CA2B57"/>
    <w:rsid w:val="00CA48AD"/>
    <w:rsid w:val="00CA53B9"/>
    <w:rsid w:val="00CB1794"/>
    <w:rsid w:val="00CB2DCF"/>
    <w:rsid w:val="00CB4F0E"/>
    <w:rsid w:val="00CC4CB1"/>
    <w:rsid w:val="00CD6841"/>
    <w:rsid w:val="00CE76F6"/>
    <w:rsid w:val="00CF029B"/>
    <w:rsid w:val="00D00F31"/>
    <w:rsid w:val="00D04DF5"/>
    <w:rsid w:val="00D1286B"/>
    <w:rsid w:val="00D12D34"/>
    <w:rsid w:val="00D13716"/>
    <w:rsid w:val="00D17A17"/>
    <w:rsid w:val="00D20F18"/>
    <w:rsid w:val="00D240AA"/>
    <w:rsid w:val="00D366C7"/>
    <w:rsid w:val="00D3682F"/>
    <w:rsid w:val="00D44C54"/>
    <w:rsid w:val="00D4634A"/>
    <w:rsid w:val="00D52D9F"/>
    <w:rsid w:val="00D56A34"/>
    <w:rsid w:val="00D6230B"/>
    <w:rsid w:val="00D627DE"/>
    <w:rsid w:val="00D867B7"/>
    <w:rsid w:val="00D87E6E"/>
    <w:rsid w:val="00D928DB"/>
    <w:rsid w:val="00D9354B"/>
    <w:rsid w:val="00D9433A"/>
    <w:rsid w:val="00DA1EDB"/>
    <w:rsid w:val="00DA218C"/>
    <w:rsid w:val="00DA2D8E"/>
    <w:rsid w:val="00DA3B0C"/>
    <w:rsid w:val="00DA4DB8"/>
    <w:rsid w:val="00DA6852"/>
    <w:rsid w:val="00DB5173"/>
    <w:rsid w:val="00DB5E5D"/>
    <w:rsid w:val="00DC17F0"/>
    <w:rsid w:val="00DE0466"/>
    <w:rsid w:val="00DE3E79"/>
    <w:rsid w:val="00DF79DD"/>
    <w:rsid w:val="00E03C90"/>
    <w:rsid w:val="00E0629E"/>
    <w:rsid w:val="00E06EEF"/>
    <w:rsid w:val="00E24423"/>
    <w:rsid w:val="00E24EEF"/>
    <w:rsid w:val="00E36626"/>
    <w:rsid w:val="00E40261"/>
    <w:rsid w:val="00E54398"/>
    <w:rsid w:val="00E607BC"/>
    <w:rsid w:val="00E64BC5"/>
    <w:rsid w:val="00E67557"/>
    <w:rsid w:val="00E72CB1"/>
    <w:rsid w:val="00E73093"/>
    <w:rsid w:val="00E73EE3"/>
    <w:rsid w:val="00E77D15"/>
    <w:rsid w:val="00E81C9C"/>
    <w:rsid w:val="00EA398F"/>
    <w:rsid w:val="00EB1B44"/>
    <w:rsid w:val="00EB344D"/>
    <w:rsid w:val="00EB4D0B"/>
    <w:rsid w:val="00EB7297"/>
    <w:rsid w:val="00EB7B6E"/>
    <w:rsid w:val="00EC5B5F"/>
    <w:rsid w:val="00EC5DAA"/>
    <w:rsid w:val="00EC77B3"/>
    <w:rsid w:val="00ED1096"/>
    <w:rsid w:val="00ED2BAE"/>
    <w:rsid w:val="00ED4940"/>
    <w:rsid w:val="00EE0664"/>
    <w:rsid w:val="00EE2B5F"/>
    <w:rsid w:val="00EE741E"/>
    <w:rsid w:val="00F02C72"/>
    <w:rsid w:val="00F05B94"/>
    <w:rsid w:val="00F06904"/>
    <w:rsid w:val="00F07F5A"/>
    <w:rsid w:val="00F13BBB"/>
    <w:rsid w:val="00F14779"/>
    <w:rsid w:val="00F15084"/>
    <w:rsid w:val="00F2525B"/>
    <w:rsid w:val="00F26D4A"/>
    <w:rsid w:val="00F31F8A"/>
    <w:rsid w:val="00F36BDD"/>
    <w:rsid w:val="00F43357"/>
    <w:rsid w:val="00F4570E"/>
    <w:rsid w:val="00F50109"/>
    <w:rsid w:val="00F52C64"/>
    <w:rsid w:val="00F56EAA"/>
    <w:rsid w:val="00F6078A"/>
    <w:rsid w:val="00F807DE"/>
    <w:rsid w:val="00F83A81"/>
    <w:rsid w:val="00F847EB"/>
    <w:rsid w:val="00F94562"/>
    <w:rsid w:val="00F966A8"/>
    <w:rsid w:val="00FA03D9"/>
    <w:rsid w:val="00FA1389"/>
    <w:rsid w:val="00FB06AC"/>
    <w:rsid w:val="00FB3E41"/>
    <w:rsid w:val="00FB4A19"/>
    <w:rsid w:val="00FC056D"/>
    <w:rsid w:val="00FD19DF"/>
    <w:rsid w:val="00FD63C2"/>
    <w:rsid w:val="00FE0F50"/>
    <w:rsid w:val="00FE311E"/>
    <w:rsid w:val="00FE4350"/>
    <w:rsid w:val="00FF3C26"/>
    <w:rsid w:val="00FF6CA7"/>
    <w:rsid w:val="0541CC0F"/>
    <w:rsid w:val="05AB266B"/>
    <w:rsid w:val="23CFACD1"/>
    <w:rsid w:val="240532AC"/>
    <w:rsid w:val="37A6EAD6"/>
    <w:rsid w:val="37CBAB8C"/>
    <w:rsid w:val="4177CCBB"/>
    <w:rsid w:val="44B164BB"/>
    <w:rsid w:val="4761A525"/>
    <w:rsid w:val="5AEF128E"/>
    <w:rsid w:val="6B4FBB3C"/>
    <w:rsid w:val="6E9A247A"/>
    <w:rsid w:val="703A1D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17DED"/>
  <w14:defaultImageDpi w14:val="32767"/>
  <w15:chartTrackingRefBased/>
  <w15:docId w15:val="{D3171EA2-2BC2-4496-811D-92485FAC8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EBB"/>
    <w:pPr>
      <w:keepNext/>
      <w:keepLines/>
      <w:spacing w:before="240"/>
      <w:outlineLvl w:val="0"/>
    </w:pPr>
    <w:rPr>
      <w:rFonts w:ascii="Times New Roman" w:eastAsiaTheme="majorEastAsia" w:hAnsi="Times New Roman" w:cs="Times New Roman"/>
      <w:color w:val="2F5496" w:themeColor="accent1" w:themeShade="BF"/>
      <w:sz w:val="32"/>
      <w:szCs w:val="3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C1699"/>
    <w:rPr>
      <w:sz w:val="20"/>
      <w:szCs w:val="20"/>
    </w:rPr>
  </w:style>
  <w:style w:type="character" w:customStyle="1" w:styleId="FootnoteTextChar">
    <w:name w:val="Footnote Text Char"/>
    <w:basedOn w:val="DefaultParagraphFont"/>
    <w:link w:val="FootnoteText"/>
    <w:uiPriority w:val="99"/>
    <w:semiHidden/>
    <w:rsid w:val="006C1699"/>
    <w:rPr>
      <w:sz w:val="20"/>
      <w:szCs w:val="20"/>
    </w:rPr>
  </w:style>
  <w:style w:type="character" w:styleId="FootnoteReference">
    <w:name w:val="footnote reference"/>
    <w:aliases w:val="Footnote sign,Style 4,Footnote Reference Number,fr,Footnote symbol"/>
    <w:basedOn w:val="DefaultParagraphFont"/>
    <w:uiPriority w:val="99"/>
    <w:unhideWhenUsed/>
    <w:rsid w:val="006C1699"/>
    <w:rPr>
      <w:vertAlign w:val="superscript"/>
    </w:rPr>
  </w:style>
  <w:style w:type="numbering" w:customStyle="1" w:styleId="SLONumberings">
    <w:name w:val="SLO_Numberings"/>
    <w:uiPriority w:val="99"/>
    <w:rsid w:val="006C1699"/>
    <w:pPr>
      <w:numPr>
        <w:numId w:val="1"/>
      </w:numPr>
    </w:pPr>
  </w:style>
  <w:style w:type="character" w:styleId="CommentReference">
    <w:name w:val="annotation reference"/>
    <w:basedOn w:val="DefaultParagraphFont"/>
    <w:uiPriority w:val="99"/>
    <w:semiHidden/>
    <w:unhideWhenUsed/>
    <w:rsid w:val="003909AE"/>
    <w:rPr>
      <w:sz w:val="16"/>
      <w:szCs w:val="16"/>
    </w:rPr>
  </w:style>
  <w:style w:type="paragraph" w:styleId="CommentText">
    <w:name w:val="annotation text"/>
    <w:basedOn w:val="Normal"/>
    <w:link w:val="CommentTextChar"/>
    <w:uiPriority w:val="99"/>
    <w:unhideWhenUsed/>
    <w:rsid w:val="003909AE"/>
    <w:rPr>
      <w:sz w:val="20"/>
      <w:szCs w:val="20"/>
    </w:rPr>
  </w:style>
  <w:style w:type="character" w:customStyle="1" w:styleId="CommentTextChar">
    <w:name w:val="Comment Text Char"/>
    <w:basedOn w:val="DefaultParagraphFont"/>
    <w:link w:val="CommentText"/>
    <w:uiPriority w:val="99"/>
    <w:rsid w:val="003909AE"/>
    <w:rPr>
      <w:sz w:val="20"/>
      <w:szCs w:val="20"/>
    </w:rPr>
  </w:style>
  <w:style w:type="paragraph" w:styleId="CommentSubject">
    <w:name w:val="annotation subject"/>
    <w:basedOn w:val="CommentText"/>
    <w:next w:val="CommentText"/>
    <w:link w:val="CommentSubjectChar"/>
    <w:uiPriority w:val="99"/>
    <w:semiHidden/>
    <w:unhideWhenUsed/>
    <w:rsid w:val="003909AE"/>
    <w:rPr>
      <w:b/>
      <w:bCs/>
    </w:rPr>
  </w:style>
  <w:style w:type="character" w:customStyle="1" w:styleId="CommentSubjectChar">
    <w:name w:val="Comment Subject Char"/>
    <w:basedOn w:val="CommentTextChar"/>
    <w:link w:val="CommentSubject"/>
    <w:uiPriority w:val="99"/>
    <w:semiHidden/>
    <w:rsid w:val="003909AE"/>
    <w:rPr>
      <w:b/>
      <w:bCs/>
      <w:sz w:val="20"/>
      <w:szCs w:val="20"/>
    </w:rPr>
  </w:style>
  <w:style w:type="paragraph" w:styleId="BalloonText">
    <w:name w:val="Balloon Text"/>
    <w:basedOn w:val="Normal"/>
    <w:link w:val="BalloonTextChar"/>
    <w:uiPriority w:val="99"/>
    <w:semiHidden/>
    <w:unhideWhenUsed/>
    <w:rsid w:val="003909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09AE"/>
    <w:rPr>
      <w:rFonts w:ascii="Times New Roman" w:hAnsi="Times New Roman" w:cs="Times New Roman"/>
      <w:sz w:val="18"/>
      <w:szCs w:val="18"/>
    </w:rPr>
  </w:style>
  <w:style w:type="paragraph" w:styleId="ListParagraph">
    <w:name w:val="List Paragraph"/>
    <w:basedOn w:val="Normal"/>
    <w:uiPriority w:val="34"/>
    <w:qFormat/>
    <w:rsid w:val="003A09FE"/>
    <w:pPr>
      <w:ind w:left="720"/>
      <w:contextualSpacing/>
    </w:pPr>
  </w:style>
  <w:style w:type="table" w:styleId="GridTable1Light">
    <w:name w:val="Grid Table 1 Light"/>
    <w:basedOn w:val="TableNormal"/>
    <w:uiPriority w:val="46"/>
    <w:rsid w:val="00867BF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0C4EBB"/>
    <w:rPr>
      <w:rFonts w:ascii="Times New Roman" w:eastAsiaTheme="majorEastAsia" w:hAnsi="Times New Roman" w:cs="Times New Roman"/>
      <w:color w:val="2F5496" w:themeColor="accent1" w:themeShade="BF"/>
      <w:sz w:val="32"/>
      <w:szCs w:val="32"/>
      <w:lang w:val="pl-PL"/>
    </w:rPr>
  </w:style>
  <w:style w:type="table" w:styleId="TableGrid">
    <w:name w:val="Table Grid"/>
    <w:basedOn w:val="TableNormal"/>
    <w:uiPriority w:val="39"/>
    <w:rsid w:val="00D12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C4CB1"/>
  </w:style>
  <w:style w:type="paragraph" w:styleId="Header">
    <w:name w:val="header"/>
    <w:basedOn w:val="Normal"/>
    <w:link w:val="HeaderChar"/>
    <w:uiPriority w:val="99"/>
    <w:unhideWhenUsed/>
    <w:rsid w:val="005F2FF9"/>
    <w:pPr>
      <w:tabs>
        <w:tab w:val="center" w:pos="4536"/>
        <w:tab w:val="right" w:pos="9072"/>
      </w:tabs>
    </w:pPr>
  </w:style>
  <w:style w:type="character" w:customStyle="1" w:styleId="HeaderChar">
    <w:name w:val="Header Char"/>
    <w:basedOn w:val="DefaultParagraphFont"/>
    <w:link w:val="Header"/>
    <w:uiPriority w:val="99"/>
    <w:rsid w:val="005F2FF9"/>
  </w:style>
  <w:style w:type="paragraph" w:styleId="Footer">
    <w:name w:val="footer"/>
    <w:basedOn w:val="Normal"/>
    <w:link w:val="FooterChar"/>
    <w:uiPriority w:val="99"/>
    <w:unhideWhenUsed/>
    <w:rsid w:val="005F2FF9"/>
    <w:pPr>
      <w:tabs>
        <w:tab w:val="center" w:pos="4536"/>
        <w:tab w:val="right" w:pos="9072"/>
      </w:tabs>
    </w:pPr>
  </w:style>
  <w:style w:type="character" w:customStyle="1" w:styleId="FooterChar">
    <w:name w:val="Footer Char"/>
    <w:basedOn w:val="DefaultParagraphFont"/>
    <w:link w:val="Footer"/>
    <w:uiPriority w:val="99"/>
    <w:rsid w:val="005F2FF9"/>
  </w:style>
  <w:style w:type="paragraph" w:customStyle="1" w:styleId="1stlevelheading">
    <w:name w:val="1st level (heading)"/>
    <w:next w:val="Normal"/>
    <w:uiPriority w:val="1"/>
    <w:qFormat/>
    <w:rsid w:val="00EE2B5F"/>
    <w:pPr>
      <w:keepNext/>
      <w:tabs>
        <w:tab w:val="num" w:pos="964"/>
      </w:tabs>
      <w:spacing w:before="360" w:after="240"/>
      <w:ind w:left="567" w:hanging="567"/>
      <w:jc w:val="both"/>
      <w:outlineLvl w:val="0"/>
    </w:pPr>
    <w:rPr>
      <w:rFonts w:ascii="Myriad Pro" w:eastAsia="Times New Roman" w:hAnsi="Myriad Pro" w:cs="Times New Roman"/>
      <w:b/>
      <w:caps/>
      <w:spacing w:val="25"/>
      <w:kern w:val="24"/>
      <w:sz w:val="22"/>
      <w:szCs w:val="20"/>
      <w:lang w:eastAsia="en-US"/>
    </w:rPr>
  </w:style>
  <w:style w:type="paragraph" w:customStyle="1" w:styleId="2ndlevelheading">
    <w:name w:val="2nd level (heading)"/>
    <w:basedOn w:val="Normal"/>
    <w:next w:val="Normal"/>
    <w:uiPriority w:val="1"/>
    <w:qFormat/>
    <w:rsid w:val="00EE2B5F"/>
    <w:pPr>
      <w:tabs>
        <w:tab w:val="num" w:pos="964"/>
      </w:tabs>
      <w:spacing w:before="240" w:after="240"/>
      <w:ind w:left="964" w:hanging="964"/>
      <w:jc w:val="both"/>
      <w:outlineLvl w:val="1"/>
    </w:pPr>
    <w:rPr>
      <w:rFonts w:ascii="Myriad Pro" w:eastAsia="Times New Roman" w:hAnsi="Myriad Pro" w:cs="Times New Roman"/>
      <w:b/>
      <w:kern w:val="24"/>
      <w:sz w:val="22"/>
      <w:szCs w:val="20"/>
      <w:lang w:eastAsia="en-US"/>
    </w:rPr>
  </w:style>
  <w:style w:type="paragraph" w:customStyle="1" w:styleId="3rdlevelheading">
    <w:name w:val="3rd level (heading)"/>
    <w:basedOn w:val="Normal"/>
    <w:next w:val="Normal"/>
    <w:uiPriority w:val="1"/>
    <w:qFormat/>
    <w:rsid w:val="00EE2B5F"/>
    <w:pPr>
      <w:tabs>
        <w:tab w:val="num" w:pos="964"/>
      </w:tabs>
      <w:spacing w:before="120" w:after="120"/>
      <w:ind w:left="964" w:hanging="964"/>
      <w:jc w:val="both"/>
      <w:outlineLvl w:val="2"/>
    </w:pPr>
    <w:rPr>
      <w:rFonts w:ascii="Myriad Pro" w:eastAsiaTheme="minorHAnsi" w:hAnsi="Myriad Pro"/>
      <w:kern w:val="24"/>
      <w:sz w:val="20"/>
      <w:szCs w:val="20"/>
      <w:lang w:eastAsia="en-US"/>
    </w:rPr>
  </w:style>
  <w:style w:type="numbering" w:customStyle="1" w:styleId="WWOutlineListStyle1">
    <w:name w:val="WW_OutlineListStyle_1"/>
    <w:rsid w:val="00EE2B5F"/>
  </w:style>
  <w:style w:type="paragraph" w:customStyle="1" w:styleId="paragraph">
    <w:name w:val="paragraph"/>
    <w:basedOn w:val="Normal"/>
    <w:rsid w:val="004F15EB"/>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0761">
      <w:bodyDiv w:val="1"/>
      <w:marLeft w:val="0"/>
      <w:marRight w:val="0"/>
      <w:marTop w:val="0"/>
      <w:marBottom w:val="0"/>
      <w:divBdr>
        <w:top w:val="none" w:sz="0" w:space="0" w:color="auto"/>
        <w:left w:val="none" w:sz="0" w:space="0" w:color="auto"/>
        <w:bottom w:val="none" w:sz="0" w:space="0" w:color="auto"/>
        <w:right w:val="none" w:sz="0" w:space="0" w:color="auto"/>
      </w:divBdr>
    </w:div>
    <w:div w:id="339087705">
      <w:bodyDiv w:val="1"/>
      <w:marLeft w:val="0"/>
      <w:marRight w:val="0"/>
      <w:marTop w:val="0"/>
      <w:marBottom w:val="0"/>
      <w:divBdr>
        <w:top w:val="none" w:sz="0" w:space="0" w:color="auto"/>
        <w:left w:val="none" w:sz="0" w:space="0" w:color="auto"/>
        <w:bottom w:val="none" w:sz="0" w:space="0" w:color="auto"/>
        <w:right w:val="none" w:sz="0" w:space="0" w:color="auto"/>
      </w:divBdr>
    </w:div>
    <w:div w:id="385834229">
      <w:bodyDiv w:val="1"/>
      <w:marLeft w:val="0"/>
      <w:marRight w:val="0"/>
      <w:marTop w:val="0"/>
      <w:marBottom w:val="0"/>
      <w:divBdr>
        <w:top w:val="none" w:sz="0" w:space="0" w:color="auto"/>
        <w:left w:val="none" w:sz="0" w:space="0" w:color="auto"/>
        <w:bottom w:val="none" w:sz="0" w:space="0" w:color="auto"/>
        <w:right w:val="none" w:sz="0" w:space="0" w:color="auto"/>
      </w:divBdr>
    </w:div>
    <w:div w:id="672220878">
      <w:bodyDiv w:val="1"/>
      <w:marLeft w:val="0"/>
      <w:marRight w:val="0"/>
      <w:marTop w:val="0"/>
      <w:marBottom w:val="0"/>
      <w:divBdr>
        <w:top w:val="none" w:sz="0" w:space="0" w:color="auto"/>
        <w:left w:val="none" w:sz="0" w:space="0" w:color="auto"/>
        <w:bottom w:val="none" w:sz="0" w:space="0" w:color="auto"/>
        <w:right w:val="none" w:sz="0" w:space="0" w:color="auto"/>
      </w:divBdr>
    </w:div>
    <w:div w:id="870725553">
      <w:bodyDiv w:val="1"/>
      <w:marLeft w:val="0"/>
      <w:marRight w:val="0"/>
      <w:marTop w:val="0"/>
      <w:marBottom w:val="0"/>
      <w:divBdr>
        <w:top w:val="none" w:sz="0" w:space="0" w:color="auto"/>
        <w:left w:val="none" w:sz="0" w:space="0" w:color="auto"/>
        <w:bottom w:val="none" w:sz="0" w:space="0" w:color="auto"/>
        <w:right w:val="none" w:sz="0" w:space="0" w:color="auto"/>
      </w:divBdr>
    </w:div>
    <w:div w:id="1342968564">
      <w:bodyDiv w:val="1"/>
      <w:marLeft w:val="0"/>
      <w:marRight w:val="0"/>
      <w:marTop w:val="0"/>
      <w:marBottom w:val="0"/>
      <w:divBdr>
        <w:top w:val="none" w:sz="0" w:space="0" w:color="auto"/>
        <w:left w:val="none" w:sz="0" w:space="0" w:color="auto"/>
        <w:bottom w:val="none" w:sz="0" w:space="0" w:color="auto"/>
        <w:right w:val="none" w:sz="0" w:space="0" w:color="auto"/>
      </w:divBdr>
    </w:div>
    <w:div w:id="1674339456">
      <w:bodyDiv w:val="1"/>
      <w:marLeft w:val="0"/>
      <w:marRight w:val="0"/>
      <w:marTop w:val="0"/>
      <w:marBottom w:val="0"/>
      <w:divBdr>
        <w:top w:val="none" w:sz="0" w:space="0" w:color="auto"/>
        <w:left w:val="none" w:sz="0" w:space="0" w:color="auto"/>
        <w:bottom w:val="none" w:sz="0" w:space="0" w:color="auto"/>
        <w:right w:val="none" w:sz="0" w:space="0" w:color="auto"/>
      </w:divBdr>
    </w:div>
    <w:div w:id="1979842665">
      <w:bodyDiv w:val="1"/>
      <w:marLeft w:val="0"/>
      <w:marRight w:val="0"/>
      <w:marTop w:val="0"/>
      <w:marBottom w:val="0"/>
      <w:divBdr>
        <w:top w:val="none" w:sz="0" w:space="0" w:color="auto"/>
        <w:left w:val="none" w:sz="0" w:space="0" w:color="auto"/>
        <w:bottom w:val="none" w:sz="0" w:space="0" w:color="auto"/>
        <w:right w:val="none" w:sz="0" w:space="0" w:color="auto"/>
      </w:divBdr>
    </w:div>
    <w:div w:id="2080708410">
      <w:bodyDiv w:val="1"/>
      <w:marLeft w:val="0"/>
      <w:marRight w:val="0"/>
      <w:marTop w:val="0"/>
      <w:marBottom w:val="0"/>
      <w:divBdr>
        <w:top w:val="none" w:sz="0" w:space="0" w:color="auto"/>
        <w:left w:val="none" w:sz="0" w:space="0" w:color="auto"/>
        <w:bottom w:val="none" w:sz="0" w:space="0" w:color="auto"/>
        <w:right w:val="none" w:sz="0" w:space="0" w:color="auto"/>
      </w:divBdr>
    </w:div>
    <w:div w:id="211458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13BE71AB5D84D85907E89B00562EB" ma:contentTypeVersion="18" ma:contentTypeDescription="Create a new document." ma:contentTypeScope="" ma:versionID="f780842b38f4ebc33c7b5779f70050e8">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f7ba2acf964f1f2513eebd924273b32d"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123C02-B686-4873-A40B-E8F1B50786B0}"/>
</file>

<file path=customXml/itemProps2.xml><?xml version="1.0" encoding="utf-8"?>
<ds:datastoreItem xmlns:ds="http://schemas.openxmlformats.org/officeDocument/2006/customXml" ds:itemID="{A22AEC3C-EC57-4B95-B694-0C63CDD4D6C8}">
  <ds:schemaRefs>
    <ds:schemaRef ds:uri="http://schemas.microsoft.com/sharepoint/v3/contenttype/forms"/>
  </ds:schemaRefs>
</ds:datastoreItem>
</file>

<file path=customXml/itemProps3.xml><?xml version="1.0" encoding="utf-8"?>
<ds:datastoreItem xmlns:ds="http://schemas.openxmlformats.org/officeDocument/2006/customXml" ds:itemID="{2866F5D3-FE91-4488-93A0-2E09DD645E83}">
  <ds:schemaRefs>
    <ds:schemaRef ds:uri="http://schemas.microsoft.com/office/2006/metadata/properties"/>
    <ds:schemaRef ds:uri="http://schemas.microsoft.com/office/infopath/2007/PartnerControls"/>
    <ds:schemaRef ds:uri="c1b15464-17cd-4058-a13c-b54e2420c3d4"/>
    <ds:schemaRef ds:uri="caacf6f3-f708-4c8d-af51-fdab418943e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Białachowski</dc:creator>
  <cp:keywords/>
  <dc:description/>
  <cp:lastModifiedBy>Mārtiņš Krauklis</cp:lastModifiedBy>
  <cp:revision>31</cp:revision>
  <cp:lastPrinted>2018-05-30T14:05:00Z</cp:lastPrinted>
  <dcterms:created xsi:type="dcterms:W3CDTF">2023-12-15T08:06:00Z</dcterms:created>
  <dcterms:modified xsi:type="dcterms:W3CDTF">2024-01-31T09:02:00Z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y fmtid="{D5CDD505-2E9C-101B-9397-08002B2CF9AE}" pid="3" name="MediaServiceImageTags">
    <vt:lpwstr/>
  </property>
</Properties>
</file>